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DCB" w:rsidRDefault="00476432" w:rsidP="00513C79">
      <w:pPr>
        <w:pStyle w:val="Heading1"/>
      </w:pPr>
      <w:r>
        <w:t>Hume’s Deontological Response to Scepticism</w:t>
      </w:r>
    </w:p>
    <w:p w:rsidR="00017BC9" w:rsidRPr="00017BC9" w:rsidRDefault="00017BC9" w:rsidP="00017BC9">
      <w:pPr>
        <w:spacing w:before="120" w:line="240" w:lineRule="auto"/>
        <w:jc w:val="center"/>
        <w:rPr>
          <w:i/>
          <w:iCs/>
        </w:rPr>
      </w:pPr>
      <w:r w:rsidRPr="00017BC9">
        <w:rPr>
          <w:i/>
          <w:iCs/>
        </w:rPr>
        <w:t>Hsueh Qu</w:t>
      </w:r>
    </w:p>
    <w:p w:rsidR="00017BC9" w:rsidRPr="00017BC9" w:rsidRDefault="00017BC9" w:rsidP="00017BC9">
      <w:pPr>
        <w:spacing w:before="120" w:line="240" w:lineRule="auto"/>
        <w:jc w:val="center"/>
        <w:rPr>
          <w:i/>
          <w:iCs/>
        </w:rPr>
      </w:pPr>
      <w:r w:rsidRPr="00017BC9">
        <w:rPr>
          <w:i/>
          <w:iCs/>
        </w:rPr>
        <w:t>National University of Singapore</w:t>
      </w:r>
    </w:p>
    <w:p w:rsidR="00513C79" w:rsidRDefault="00513C79" w:rsidP="00513C79">
      <w:pPr>
        <w:pStyle w:val="Heading2"/>
        <w:numPr>
          <w:ilvl w:val="0"/>
          <w:numId w:val="1"/>
        </w:numPr>
      </w:pPr>
      <w:r>
        <w:t>Introduction</w:t>
      </w:r>
    </w:p>
    <w:p w:rsidR="00310EEB" w:rsidRPr="00310EEB" w:rsidRDefault="00A20CD2" w:rsidP="00310EEB">
      <w:r>
        <w:t>Characterising Hume’s response to scepticism in THN 1.4.7 is a notoriously fraught endeavour.</w:t>
      </w:r>
      <w:r w:rsidR="00EA059F">
        <w:rPr>
          <w:rStyle w:val="FootnoteReference"/>
        </w:rPr>
        <w:footnoteReference w:id="1"/>
      </w:r>
      <w:r>
        <w:t xml:space="preserve"> In this paper, I offer a novel interpreta</w:t>
      </w:r>
      <w:bookmarkStart w:id="0" w:name="_GoBack"/>
      <w:bookmarkEnd w:id="0"/>
      <w:r>
        <w:t xml:space="preserve">tion of THN 1.4.7, which </w:t>
      </w:r>
      <w:r w:rsidR="0035205C">
        <w:t xml:space="preserve">sees </w:t>
      </w:r>
      <w:r w:rsidR="00D14F6A">
        <w:t>hi</w:t>
      </w:r>
      <w:r w:rsidR="0035205C">
        <w:t>s sceptical problem and solution in THN 1.4.7 as taking a broadly deontological structure</w:t>
      </w:r>
      <w:r>
        <w:t xml:space="preserve">. Briefly, I read </w:t>
      </w:r>
      <w:r w:rsidR="00D14F6A">
        <w:t>the</w:t>
      </w:r>
      <w:r>
        <w:t xml:space="preserve"> ‘Dangerous Dilemma’ (THN 1.4.7.</w:t>
      </w:r>
      <w:r w:rsidR="00BA5922">
        <w:t>6–</w:t>
      </w:r>
      <w:r w:rsidR="004B6759">
        <w:t>7</w:t>
      </w:r>
      <w:r>
        <w:t>) as embodying a false dichotomy between two deontological extremes</w:t>
      </w:r>
      <w:r w:rsidR="001A0A31">
        <w:t xml:space="preserve"> concerning reflection</w:t>
      </w:r>
      <w:r w:rsidR="000734C3">
        <w:t xml:space="preserve">, </w:t>
      </w:r>
      <w:r w:rsidR="00813729">
        <w:t>that is, thinking carefully about our mental states and faculties</w:t>
      </w:r>
      <w:r w:rsidR="001A0A31">
        <w:t>.</w:t>
      </w:r>
      <w:r w:rsidR="005A623A">
        <w:rPr>
          <w:rStyle w:val="FootnoteReference"/>
        </w:rPr>
        <w:footnoteReference w:id="2"/>
      </w:r>
      <w:r w:rsidR="001A0A31">
        <w:t xml:space="preserve"> The two horns</w:t>
      </w:r>
      <w:r w:rsidR="000734C3">
        <w:t xml:space="preserve"> of the Dangerous Dilemma </w:t>
      </w:r>
      <w:r w:rsidR="001A0A31">
        <w:t>are as follows:</w:t>
      </w:r>
      <w:r w:rsidR="00262398">
        <w:t xml:space="preserve"> either embracing an absolute duty to</w:t>
      </w:r>
      <w:r w:rsidR="00012C14">
        <w:t xml:space="preserve"> </w:t>
      </w:r>
      <w:r w:rsidR="00012C14" w:rsidRPr="00012C14">
        <w:rPr>
          <w:i/>
        </w:rPr>
        <w:t>constantly and incessantly</w:t>
      </w:r>
      <w:r w:rsidR="00012C14">
        <w:t xml:space="preserve"> reflect</w:t>
      </w:r>
      <w:r w:rsidR="00A542B1">
        <w:t xml:space="preserve"> (leading to</w:t>
      </w:r>
      <w:r w:rsidR="0035205C">
        <w:t xml:space="preserve"> excessive</w:t>
      </w:r>
      <w:r w:rsidR="00A542B1">
        <w:t xml:space="preserve"> scepticism)</w:t>
      </w:r>
      <w:r w:rsidR="00012C14">
        <w:t>;</w:t>
      </w:r>
      <w:r w:rsidR="00262398">
        <w:t xml:space="preserve"> or </w:t>
      </w:r>
      <w:r w:rsidR="00012C14">
        <w:t xml:space="preserve">maintaining that it is not the case that we have </w:t>
      </w:r>
      <w:r w:rsidR="00012C14" w:rsidRPr="00012C14">
        <w:rPr>
          <w:i/>
        </w:rPr>
        <w:t>any</w:t>
      </w:r>
      <w:r w:rsidR="00262398">
        <w:t xml:space="preserve"> duty to reflect</w:t>
      </w:r>
      <w:r w:rsidR="00E750AB">
        <w:t xml:space="preserve"> to any degree</w:t>
      </w:r>
      <w:r w:rsidR="00A542B1">
        <w:t xml:space="preserve"> (leading to credulity)</w:t>
      </w:r>
      <w:r>
        <w:t xml:space="preserve">. </w:t>
      </w:r>
      <w:r w:rsidR="00E60B2A">
        <w:t xml:space="preserve">Hume thus seeks to straddle these two horns and find a deontological middle path. </w:t>
      </w:r>
      <w:r>
        <w:t xml:space="preserve">The resolution to this dilemma </w:t>
      </w:r>
      <w:r w:rsidR="000846A0">
        <w:t>turn</w:t>
      </w:r>
      <w:r>
        <w:t>s on Hume’s realising that</w:t>
      </w:r>
      <w:r w:rsidR="00DF082A">
        <w:t xml:space="preserve"> we have a duty to reflect only up to a point. Beyond this threshold,</w:t>
      </w:r>
      <w:r>
        <w:t xml:space="preserve"> there is a level of reflection that is not required of us</w:t>
      </w:r>
      <w:r w:rsidR="00DF082A">
        <w:t>, but</w:t>
      </w:r>
      <w:r w:rsidR="00A91694">
        <w:t xml:space="preserve"> which</w:t>
      </w:r>
      <w:r w:rsidR="00EE3B4F">
        <w:t xml:space="preserve"> is nevertheless good; in</w:t>
      </w:r>
      <w:r w:rsidR="00DF09C8">
        <w:t xml:space="preserve"> other words, </w:t>
      </w:r>
      <w:r>
        <w:t>such</w:t>
      </w:r>
      <w:r w:rsidR="00C6362D">
        <w:t xml:space="preserve"> reflection is supererogatory. </w:t>
      </w:r>
      <w:r w:rsidR="004B5868" w:rsidRPr="004B5868">
        <w:t>However, this seems to render excessive scepticism supererogatory. This unintuitive outcome can be avoided by appealing to a suitable account of value beyond the deontological threshold that is founded o</w:t>
      </w:r>
      <w:r w:rsidR="004B5868">
        <w:t>n usefulness and agreeableness.</w:t>
      </w:r>
      <w:r w:rsidR="00310EEB" w:rsidRPr="00310EEB">
        <w:t xml:space="preserve"> In the end, Hume manages to tread a path between scepticism and credulity, while nevertheless rejecting superstition and endorsing science and philosophy.</w:t>
      </w:r>
    </w:p>
    <w:p w:rsidR="00A91694" w:rsidRDefault="00A91694" w:rsidP="00513C79"/>
    <w:p w:rsidR="00513C79" w:rsidRDefault="00513C79" w:rsidP="00513C79">
      <w:pPr>
        <w:pStyle w:val="Heading2"/>
        <w:numPr>
          <w:ilvl w:val="0"/>
          <w:numId w:val="1"/>
        </w:numPr>
      </w:pPr>
      <w:r>
        <w:t>The Supererogatory and Hume’s Ethics</w:t>
      </w:r>
    </w:p>
    <w:p w:rsidR="00453EEE" w:rsidRDefault="00453EEE" w:rsidP="004B6759">
      <w:pPr>
        <w:tabs>
          <w:tab w:val="left" w:pos="2355"/>
        </w:tabs>
      </w:pPr>
      <w:r>
        <w:t xml:space="preserve">Before </w:t>
      </w:r>
      <w:r w:rsidR="002C1335">
        <w:t>I examine</w:t>
      </w:r>
      <w:r>
        <w:t xml:space="preserve"> Hume’s epistemology, </w:t>
      </w:r>
      <w:r w:rsidRPr="00453EEE">
        <w:t xml:space="preserve">I will first briefly argue that </w:t>
      </w:r>
      <w:r w:rsidR="0049528F">
        <w:t>h</w:t>
      </w:r>
      <w:r w:rsidRPr="00453EEE">
        <w:t xml:space="preserve">e recognises a class of actions which are supererogatory in his ethics. Given this, a reading of THN 1.4.7 </w:t>
      </w:r>
      <w:r w:rsidR="00392A85">
        <w:t>that</w:t>
      </w:r>
      <w:r w:rsidRPr="00453EEE">
        <w:t xml:space="preserve"> turns on the supererogatory is not implausible.</w:t>
      </w:r>
    </w:p>
    <w:p w:rsidR="00513C79" w:rsidRDefault="00DF09C8" w:rsidP="008D2F15">
      <w:pPr>
        <w:tabs>
          <w:tab w:val="left" w:pos="2355"/>
        </w:tabs>
        <w:ind w:firstLine="567"/>
      </w:pPr>
      <w:r>
        <w:t>H</w:t>
      </w:r>
      <w:r w:rsidR="004B6759">
        <w:t xml:space="preserve">ow to characterise supererogation, and if </w:t>
      </w:r>
      <w:r w:rsidR="006E6C6C">
        <w:t>such a</w:t>
      </w:r>
      <w:r w:rsidR="004B6759">
        <w:t xml:space="preserve"> categ</w:t>
      </w:r>
      <w:r>
        <w:t>ory even exists, are difficult issues</w:t>
      </w:r>
      <w:r w:rsidR="004B6759">
        <w:t>.</w:t>
      </w:r>
      <w:r w:rsidR="00EA059F">
        <w:rPr>
          <w:rStyle w:val="FootnoteReference"/>
        </w:rPr>
        <w:footnoteReference w:id="3"/>
      </w:r>
      <w:r w:rsidR="004B6759">
        <w:t xml:space="preserve"> This paper is not a paper on </w:t>
      </w:r>
      <w:r>
        <w:t>e</w:t>
      </w:r>
      <w:r w:rsidR="00EA059F">
        <w:t xml:space="preserve">thics (nor </w:t>
      </w:r>
      <w:r w:rsidR="0091709D">
        <w:t>even</w:t>
      </w:r>
      <w:r w:rsidR="00E458F2">
        <w:t xml:space="preserve"> primarily on Hume’s </w:t>
      </w:r>
      <w:r>
        <w:t>e</w:t>
      </w:r>
      <w:r w:rsidR="00E458F2">
        <w:t>thics</w:t>
      </w:r>
      <w:r w:rsidR="0091709D">
        <w:t xml:space="preserve">!), and </w:t>
      </w:r>
      <w:r w:rsidR="00EA059F">
        <w:t xml:space="preserve">I </w:t>
      </w:r>
      <w:r w:rsidR="0091709D">
        <w:t>cannot</w:t>
      </w:r>
      <w:r w:rsidR="00EA059F">
        <w:t xml:space="preserve"> delve deeply into the issue here. For the purposes of my paper, I follow Urmson’s (1958) seminal work, </w:t>
      </w:r>
      <w:r w:rsidR="00EA478C">
        <w:t>which</w:t>
      </w:r>
      <w:r w:rsidR="00EA059F">
        <w:t xml:space="preserve"> challenges the traditional trichotomy of the obligatory, the permitted, and the prohibited. </w:t>
      </w:r>
      <w:r w:rsidR="00EA478C">
        <w:t>The key claim is</w:t>
      </w:r>
      <w:r w:rsidR="00EA059F">
        <w:t xml:space="preserve"> that ‘there are many kinds of action that involve going beyond duty proper, saintly and heroic actions being conspicuous examples of such kinds of action’ (Urmson 1958, p.215). </w:t>
      </w:r>
      <w:r w:rsidR="00217FF7">
        <w:t>While Urmson does not use the term ‘supererogation’</w:t>
      </w:r>
      <w:r>
        <w:t xml:space="preserve"> nor its cognates</w:t>
      </w:r>
      <w:r w:rsidR="00217FF7">
        <w:t xml:space="preserve">, we may put </w:t>
      </w:r>
      <w:r w:rsidR="002623D6">
        <w:t>his</w:t>
      </w:r>
      <w:r w:rsidR="00217FF7">
        <w:t xml:space="preserve"> point as follows: there is a class of </w:t>
      </w:r>
      <w:r>
        <w:t xml:space="preserve">supererogatory </w:t>
      </w:r>
      <w:r w:rsidR="00217FF7">
        <w:t>actions</w:t>
      </w:r>
      <w:r>
        <w:t xml:space="preserve"> such</w:t>
      </w:r>
      <w:r w:rsidR="00217FF7">
        <w:t xml:space="preserve"> that</w:t>
      </w:r>
      <w:r>
        <w:t xml:space="preserve"> they</w:t>
      </w:r>
      <w:r w:rsidR="00217FF7">
        <w:t xml:space="preserve"> are not are not required of us as a duty, b</w:t>
      </w:r>
      <w:r w:rsidR="00D02850">
        <w:t>ut are nevertheless good to do.</w:t>
      </w:r>
    </w:p>
    <w:p w:rsidR="009D4621" w:rsidRDefault="00217FF7" w:rsidP="00055519">
      <w:pPr>
        <w:tabs>
          <w:tab w:val="left" w:pos="720"/>
          <w:tab w:val="left" w:pos="2355"/>
        </w:tabs>
        <w:ind w:firstLine="567"/>
      </w:pPr>
      <w:r>
        <w:t xml:space="preserve">It might strike </w:t>
      </w:r>
      <w:r w:rsidR="00C35B30">
        <w:t xml:space="preserve">some </w:t>
      </w:r>
      <w:r>
        <w:t xml:space="preserve">readers as peculiar to attribute the notion of supererogation to Hume, as </w:t>
      </w:r>
      <w:r w:rsidR="002623D6">
        <w:t>his</w:t>
      </w:r>
      <w:r>
        <w:t xml:space="preserve"> moral theory is nowadays typically seen as </w:t>
      </w:r>
      <w:r w:rsidR="001C3C62">
        <w:t xml:space="preserve">taking on a virtue-ethical </w:t>
      </w:r>
      <w:r w:rsidR="004A48CB">
        <w:t>cast</w:t>
      </w:r>
      <w:r>
        <w:t xml:space="preserve">, </w:t>
      </w:r>
      <w:r w:rsidR="004B5868">
        <w:t>free from</w:t>
      </w:r>
      <w:r w:rsidR="00A91694">
        <w:t xml:space="preserve"> deontological trappings</w:t>
      </w:r>
      <w:r>
        <w:t>.</w:t>
      </w:r>
      <w:r w:rsidR="001C3C62">
        <w:t xml:space="preserve"> For instance, Taylor states that</w:t>
      </w:r>
    </w:p>
    <w:p w:rsidR="009D4621" w:rsidRDefault="001C3C62" w:rsidP="00055519">
      <w:pPr>
        <w:pStyle w:val="HumeReference"/>
      </w:pPr>
      <w:r>
        <w:t>Hume’s moral philosophy may plausibly be construed as a version of virtue ethics</w:t>
      </w:r>
      <w:r w:rsidR="009D4621">
        <w:t>. A</w:t>
      </w:r>
      <w:r>
        <w:t>mong the central concepts of his theory are character, virtue and vice, rather than rules, duty, and obligation.</w:t>
      </w:r>
      <w:r w:rsidR="003A4C63">
        <w:t xml:space="preserve"> </w:t>
      </w:r>
      <w:r w:rsidR="009D4621">
        <w:t>(Taylor 2006, p.276)</w:t>
      </w:r>
      <w:r w:rsidR="004B5868" w:rsidRPr="004B5868">
        <w:rPr>
          <w:vertAlign w:val="superscript"/>
        </w:rPr>
        <w:footnoteReference w:id="4"/>
      </w:r>
    </w:p>
    <w:p w:rsidR="00217FF7" w:rsidRDefault="009222CA" w:rsidP="00217FF7">
      <w:pPr>
        <w:tabs>
          <w:tab w:val="left" w:pos="720"/>
          <w:tab w:val="left" w:pos="2355"/>
        </w:tabs>
      </w:pPr>
      <w:r>
        <w:lastRenderedPageBreak/>
        <w:t>If Hume does not recognise duties</w:t>
      </w:r>
      <w:r w:rsidR="003A4C63">
        <w:t xml:space="preserve">, there would trivially be </w:t>
      </w:r>
      <w:r w:rsidR="00E458F2">
        <w:t>a great deal</w:t>
      </w:r>
      <w:r w:rsidR="003A4C63">
        <w:t xml:space="preserve"> of supererogatory actions</w:t>
      </w:r>
      <w:r>
        <w:t xml:space="preserve"> in his ethics</w:t>
      </w:r>
      <w:r w:rsidR="003A4C63">
        <w:t xml:space="preserve">: all good actions would be good without being required of us as </w:t>
      </w:r>
      <w:r w:rsidR="003E72EF">
        <w:t>duties</w:t>
      </w:r>
      <w:r w:rsidR="003A4C63">
        <w:t>.</w:t>
      </w:r>
      <w:r w:rsidR="00217FF7">
        <w:t xml:space="preserve"> </w:t>
      </w:r>
      <w:r w:rsidR="003A4C63">
        <w:t>I will briefly argue that Hume does</w:t>
      </w:r>
      <w:r w:rsidR="00EE3B4F" w:rsidRPr="00EE3B4F">
        <w:t xml:space="preserve"> recognise a non-trivial class of supererogatory actions </w:t>
      </w:r>
      <w:r w:rsidR="003A4C63">
        <w:t>in his ethics.</w:t>
      </w:r>
      <w:r w:rsidR="00217FF7">
        <w:t xml:space="preserve"> </w:t>
      </w:r>
      <w:r w:rsidR="006E6C6C">
        <w:t>In doing so, I only make</w:t>
      </w:r>
      <w:r w:rsidR="009B424F">
        <w:t xml:space="preserve"> the limited claim </w:t>
      </w:r>
      <w:r w:rsidR="006E6C6C">
        <w:t>that</w:t>
      </w:r>
      <w:r w:rsidR="009B424F">
        <w:t xml:space="preserve"> even if</w:t>
      </w:r>
      <w:r w:rsidR="00217FF7">
        <w:t xml:space="preserve"> </w:t>
      </w:r>
      <w:r w:rsidR="00EE3B4F">
        <w:t>hi</w:t>
      </w:r>
      <w:r w:rsidR="00217FF7">
        <w:t xml:space="preserve">s </w:t>
      </w:r>
      <w:r w:rsidR="003A4C63">
        <w:t xml:space="preserve">moral framework by and large takes the form of a virtue ethics, </w:t>
      </w:r>
      <w:r w:rsidR="002C1335">
        <w:t>it nevertheless leaves</w:t>
      </w:r>
      <w:r w:rsidR="00030AC1">
        <w:t xml:space="preserve"> room for </w:t>
      </w:r>
      <w:r w:rsidR="002C1335">
        <w:t>duties</w:t>
      </w:r>
      <w:r w:rsidR="003A4C63">
        <w:t>.</w:t>
      </w:r>
      <w:r w:rsidR="006E6C6C">
        <w:rPr>
          <w:rStyle w:val="FootnoteReference"/>
        </w:rPr>
        <w:footnoteReference w:id="5"/>
      </w:r>
      <w:r w:rsidR="003A4C63">
        <w:t xml:space="preserve"> </w:t>
      </w:r>
    </w:p>
    <w:p w:rsidR="00DB1E2F" w:rsidRDefault="00DF09C8" w:rsidP="00055519">
      <w:pPr>
        <w:tabs>
          <w:tab w:val="left" w:pos="720"/>
          <w:tab w:val="left" w:pos="2355"/>
        </w:tabs>
        <w:ind w:firstLine="567"/>
      </w:pPr>
      <w:r>
        <w:t xml:space="preserve">First, Hume clearly recognises a class of actions which are required as obligations. See </w:t>
      </w:r>
      <w:r w:rsidR="00D14F6A">
        <w:t xml:space="preserve">the following passage from </w:t>
      </w:r>
      <w:r w:rsidR="009B424F">
        <w:t>‘Of the obligation of promises’</w:t>
      </w:r>
      <w:r>
        <w:t>:</w:t>
      </w:r>
    </w:p>
    <w:p w:rsidR="00D6054F" w:rsidRDefault="00D6054F" w:rsidP="00055519">
      <w:pPr>
        <w:pStyle w:val="HumeReference"/>
      </w:pPr>
      <w:r>
        <w:t xml:space="preserve">All morality depends on our sentiments, and </w:t>
      </w:r>
      <w:r w:rsidRPr="00D6054F">
        <w:t>when any action, or quality of the mind, pleases us </w:t>
      </w:r>
      <w:r w:rsidRPr="00D6054F">
        <w:rPr>
          <w:i/>
          <w:iCs/>
        </w:rPr>
        <w:t>after a certain manner</w:t>
      </w:r>
      <w:r w:rsidRPr="00D6054F">
        <w:t>, we say it is virtuous; and when the neglect, or non-performance of it, displeases us </w:t>
      </w:r>
      <w:r w:rsidRPr="00D6054F">
        <w:rPr>
          <w:i/>
          <w:iCs/>
        </w:rPr>
        <w:t>after a like manner</w:t>
      </w:r>
      <w:r w:rsidRPr="00D6054F">
        <w:t>, we say that we lie under an obligation to perform it.</w:t>
      </w:r>
      <w:r>
        <w:t xml:space="preserve"> (THN 3.2.5.4)</w:t>
      </w:r>
    </w:p>
    <w:p w:rsidR="009B424F" w:rsidRPr="00063543" w:rsidRDefault="0049528F" w:rsidP="009B424F">
      <w:r>
        <w:t>The above passage</w:t>
      </w:r>
      <w:r w:rsidR="009B424F">
        <w:t xml:space="preserve"> indicates that there are obligations or duties, which rest on sentiments (in keeping with Hume’s sentimentalist frameworks).</w:t>
      </w:r>
      <w:r w:rsidR="003620F0">
        <w:rPr>
          <w:rStyle w:val="FootnoteReference"/>
        </w:rPr>
        <w:footnoteReference w:id="6"/>
      </w:r>
      <w:r w:rsidR="00063543">
        <w:t xml:space="preserve"> </w:t>
      </w:r>
    </w:p>
    <w:p w:rsidR="00DF09C8" w:rsidRDefault="00DF09C8" w:rsidP="00055519">
      <w:pPr>
        <w:tabs>
          <w:tab w:val="left" w:pos="720"/>
          <w:tab w:val="left" w:pos="2355"/>
        </w:tabs>
        <w:ind w:firstLine="567"/>
      </w:pPr>
      <w:r>
        <w:t>Of course, this does not yet establish that there are supererogatory actions</w:t>
      </w:r>
      <w:r w:rsidR="00A91694">
        <w:t>, since it might be that all good actions are required of us as duties</w:t>
      </w:r>
      <w:r>
        <w:t xml:space="preserve">. </w:t>
      </w:r>
      <w:r w:rsidR="00DC7775">
        <w:t>In this respect, the following passage is significant</w:t>
      </w:r>
      <w:r>
        <w:t>:</w:t>
      </w:r>
    </w:p>
    <w:p w:rsidR="00DF09C8" w:rsidRPr="00DB1E2F" w:rsidRDefault="00DF09C8" w:rsidP="00DF09C8">
      <w:pPr>
        <w:spacing w:before="200" w:line="480" w:lineRule="auto"/>
        <w:ind w:left="567" w:right="567"/>
        <w:rPr>
          <w:sz w:val="20"/>
          <w:szCs w:val="20"/>
          <w:lang w:val="en-US"/>
        </w:rPr>
      </w:pPr>
      <w:r w:rsidRPr="00DB1E2F">
        <w:rPr>
          <w:sz w:val="20"/>
          <w:szCs w:val="20"/>
          <w:lang w:val="en-US"/>
        </w:rPr>
        <w:t>No action can be requir’d of us as our duty, unless there be implanted in human nature some actuating passion or motive, capable</w:t>
      </w:r>
      <w:r w:rsidR="00777855">
        <w:rPr>
          <w:sz w:val="20"/>
          <w:szCs w:val="20"/>
          <w:lang w:val="en-US"/>
        </w:rPr>
        <w:t xml:space="preserve"> of producing the action. (THN 3.2.5.6)</w:t>
      </w:r>
    </w:p>
    <w:p w:rsidR="00C35B30" w:rsidRDefault="00EC25ED" w:rsidP="009B424F">
      <w:r>
        <w:t>Hume above</w:t>
      </w:r>
      <w:r w:rsidR="00DF09C8">
        <w:t xml:space="preserve"> claims that only actions such that human nature</w:t>
      </w:r>
      <w:r w:rsidR="00E17ADA">
        <w:t xml:space="preserve"> in general</w:t>
      </w:r>
      <w:r w:rsidR="00DF09C8">
        <w:t xml:space="preserve"> contains a motive or passion capable of producing it can be required of us as duties. </w:t>
      </w:r>
      <w:r w:rsidR="00DF09C8" w:rsidRPr="00DF09C8">
        <w:t xml:space="preserve">From here, it is a short walk to the claim that </w:t>
      </w:r>
      <w:r>
        <w:t>h</w:t>
      </w:r>
      <w:r w:rsidR="00DF09C8" w:rsidRPr="00DF09C8">
        <w:t xml:space="preserve">e recognises a class of actions as supererogatory. </w:t>
      </w:r>
    </w:p>
    <w:p w:rsidR="00030AC1" w:rsidRDefault="009222CA" w:rsidP="00055519">
      <w:pPr>
        <w:ind w:firstLine="567"/>
      </w:pPr>
      <w:r>
        <w:lastRenderedPageBreak/>
        <w:t>In his discussion on the indirect passions,</w:t>
      </w:r>
      <w:r w:rsidR="00CD401A">
        <w:t xml:space="preserve"> Hume clearly states that we can only be proud or humble of qualities that are </w:t>
      </w:r>
      <w:r w:rsidR="00DF09C8">
        <w:t xml:space="preserve">relatively peculiar </w:t>
      </w:r>
      <w:r w:rsidR="00CD401A">
        <w:t>to us</w:t>
      </w:r>
      <w:r w:rsidR="00E17ADA">
        <w:t xml:space="preserve"> (THN 2.1.6.4)</w:t>
      </w:r>
      <w:r w:rsidR="00E17ADA">
        <w:rPr>
          <w:sz w:val="20"/>
          <w:szCs w:val="20"/>
          <w:lang w:eastAsia="en-GB"/>
        </w:rPr>
        <w:t xml:space="preserve">. </w:t>
      </w:r>
      <w:r w:rsidR="00216055">
        <w:t>The idea is that it is difficult to be particularly proud or humble of a very common trait, and so some degree of rarity is required</w:t>
      </w:r>
      <w:r>
        <w:t xml:space="preserve"> to stir these passions</w:t>
      </w:r>
      <w:r w:rsidR="00216055">
        <w:t xml:space="preserve">. </w:t>
      </w:r>
      <w:r w:rsidR="00CD401A">
        <w:t>Of course, pride and humility</w:t>
      </w:r>
      <w:r w:rsidR="00216055">
        <w:t xml:space="preserve">, when concerning </w:t>
      </w:r>
      <w:r w:rsidR="00793524">
        <w:t>our mental qualities,</w:t>
      </w:r>
      <w:r w:rsidR="00CD401A">
        <w:t xml:space="preserve"> are intimately related to moral approbation and blame</w:t>
      </w:r>
      <w:r w:rsidR="00E17ADA">
        <w:t xml:space="preserve"> (THN 3.3.1.3). </w:t>
      </w:r>
      <w:r w:rsidR="00FF7516">
        <w:t>For Hume, actions are laudable or blameable on the basis of the character traits they reveal</w:t>
      </w:r>
      <w:r w:rsidR="004E2E98">
        <w:t xml:space="preserve"> (THN 2.3.2.6; THN 3.3.1.4). </w:t>
      </w:r>
      <w:r w:rsidR="00216055">
        <w:t xml:space="preserve">Thus, any action that indicates a quality of the mind that is useful or agreeable as well as rare will be </w:t>
      </w:r>
      <w:r w:rsidR="00FF7516">
        <w:t>an action</w:t>
      </w:r>
      <w:r w:rsidR="00216055">
        <w:t xml:space="preserve"> that we can take pride in, </w:t>
      </w:r>
      <w:r w:rsidR="00CD5E44">
        <w:t>as well as one that receives moral approbation</w:t>
      </w:r>
      <w:r w:rsidR="00216055">
        <w:t>.</w:t>
      </w:r>
      <w:r w:rsidR="00E17ADA">
        <w:rPr>
          <w:rStyle w:val="FootnoteReference"/>
        </w:rPr>
        <w:footnoteReference w:id="7"/>
      </w:r>
      <w:r w:rsidR="002C1335">
        <w:t xml:space="preserve"> However, there is no actuating motive capable of producing these actions present in the generality of mankind, given the rarity of these underlying traits.</w:t>
      </w:r>
      <w:r w:rsidR="00E256CA" w:rsidRPr="00E256CA">
        <w:rPr>
          <w:vertAlign w:val="superscript"/>
        </w:rPr>
        <w:footnoteReference w:id="8"/>
      </w:r>
      <w:r w:rsidR="00E256CA" w:rsidRPr="00E256CA">
        <w:t xml:space="preserve"> </w:t>
      </w:r>
      <w:r w:rsidR="00030AC1">
        <w:t>In short</w:t>
      </w:r>
      <w:r w:rsidR="00FF7516">
        <w:t xml:space="preserve">, an action that indicates a useful or agreeable and also rare trait </w:t>
      </w:r>
      <w:r w:rsidR="002C1335">
        <w:t>will be</w:t>
      </w:r>
      <w:r w:rsidR="00030AC1">
        <w:t xml:space="preserve"> supererogatory</w:t>
      </w:r>
      <w:r w:rsidR="00FF7516">
        <w:t xml:space="preserve">. </w:t>
      </w:r>
    </w:p>
    <w:p w:rsidR="00FF7516" w:rsidRDefault="00921371" w:rsidP="00030AC1">
      <w:pPr>
        <w:ind w:firstLine="567"/>
      </w:pPr>
      <w:r>
        <w:t>Moreover</w:t>
      </w:r>
      <w:r w:rsidR="005D7C72">
        <w:t>,</w:t>
      </w:r>
      <w:r>
        <w:t xml:space="preserve"> it should be noted that</w:t>
      </w:r>
      <w:r w:rsidR="005D7C72">
        <w:t xml:space="preserve"> Hume’s characterisation of duties seems to leave ample room for the supererogatory. An action is </w:t>
      </w:r>
      <w:r w:rsidR="004575D6">
        <w:t>virtuous</w:t>
      </w:r>
      <w:r w:rsidR="005D7C72">
        <w:t xml:space="preserve"> if it ‘pleases us </w:t>
      </w:r>
      <w:r w:rsidR="005D7C72">
        <w:rPr>
          <w:i/>
        </w:rPr>
        <w:t>after a certain manner</w:t>
      </w:r>
      <w:r w:rsidR="005D7C72">
        <w:t>’</w:t>
      </w:r>
      <w:r w:rsidR="004575D6">
        <w:t>,</w:t>
      </w:r>
      <w:r w:rsidR="005D7C72">
        <w:t xml:space="preserve"> and</w:t>
      </w:r>
      <w:r w:rsidR="004575D6">
        <w:t xml:space="preserve"> it is obligatory if</w:t>
      </w:r>
      <w:r w:rsidR="005D7C72">
        <w:t xml:space="preserve"> its neglect ‘displeases us </w:t>
      </w:r>
      <w:r w:rsidR="005D7C72">
        <w:rPr>
          <w:i/>
        </w:rPr>
        <w:t>after a like manner</w:t>
      </w:r>
      <w:r w:rsidR="005D7C72">
        <w:t xml:space="preserve">’ (THN 3.2.5.4). </w:t>
      </w:r>
      <w:r w:rsidR="00CE2948">
        <w:t>By lights of this account</w:t>
      </w:r>
      <w:r w:rsidR="004575D6">
        <w:t>,</w:t>
      </w:r>
      <w:r w:rsidR="005D7C72">
        <w:t xml:space="preserve"> an action</w:t>
      </w:r>
      <w:r w:rsidR="004575D6">
        <w:t xml:space="preserve"> </w:t>
      </w:r>
      <w:r w:rsidR="00EE3B4F">
        <w:t>w</w:t>
      </w:r>
      <w:r w:rsidR="004575D6">
        <w:t>ould be virtuous without being required as a duty if it</w:t>
      </w:r>
      <w:r w:rsidR="005D7C72">
        <w:t xml:space="preserve"> pleases us in the relevant manner, </w:t>
      </w:r>
      <w:r w:rsidR="00793524">
        <w:t>without</w:t>
      </w:r>
      <w:r w:rsidR="005D7C72">
        <w:t xml:space="preserve"> its neglect</w:t>
      </w:r>
      <w:r w:rsidR="004575D6">
        <w:t xml:space="preserve"> </w:t>
      </w:r>
      <w:r w:rsidR="00793524">
        <w:t>causing</w:t>
      </w:r>
      <w:r w:rsidR="004575D6">
        <w:t xml:space="preserve"> us displeasure.</w:t>
      </w:r>
      <w:r>
        <w:t xml:space="preserve"> Hume’s account of duties thus clearly leaves open room for the supererogatory in his ethics.</w:t>
      </w:r>
    </w:p>
    <w:p w:rsidR="00513C79" w:rsidRDefault="000C0338" w:rsidP="00513C79">
      <w:pPr>
        <w:pStyle w:val="Heading2"/>
        <w:numPr>
          <w:ilvl w:val="0"/>
          <w:numId w:val="1"/>
        </w:numPr>
      </w:pPr>
      <w:r>
        <w:t>The Dangerous Dilemma</w:t>
      </w:r>
    </w:p>
    <w:p w:rsidR="009D4621" w:rsidRDefault="00192181" w:rsidP="00F015BA">
      <w:r>
        <w:t xml:space="preserve">The </w:t>
      </w:r>
      <w:r w:rsidR="00453EEE">
        <w:t>nexus of Hume’s consternation</w:t>
      </w:r>
      <w:r>
        <w:t xml:space="preserve"> in THN 1.4.7 is undoubtedly the ‘dangerous dilemma</w:t>
      </w:r>
      <w:r w:rsidR="000C0338">
        <w:t>’</w:t>
      </w:r>
      <w:r>
        <w:t>.</w:t>
      </w:r>
      <w:r w:rsidR="00F015BA">
        <w:rPr>
          <w:rStyle w:val="FootnoteReference"/>
        </w:rPr>
        <w:footnoteReference w:id="9"/>
      </w:r>
      <w:r>
        <w:t xml:space="preserve"> The first horn of the dilemma </w:t>
      </w:r>
      <w:r w:rsidR="000846A0">
        <w:t xml:space="preserve">(henceforth ‘the credulity horn’) </w:t>
      </w:r>
      <w:r>
        <w:t>is as follows:</w:t>
      </w:r>
    </w:p>
    <w:p w:rsidR="00192181" w:rsidRDefault="00192181" w:rsidP="00055519">
      <w:pPr>
        <w:pStyle w:val="HumeReference"/>
      </w:pPr>
      <w:r w:rsidRPr="00192181">
        <w:lastRenderedPageBreak/>
        <w:t>For if we assent to every trivial suggestion of the fancy; beside that these suggestions are often contrary to each other; they lead us into such errors, absurdities, and obscurities, that we must at last become asham’d of our credulity. Nothing is more dangerous to reason than the flights of the imagination, and nothing has been the occasion of more mistakes among philosophers. </w:t>
      </w:r>
      <w:r>
        <w:t>(THN 1.4.7.6)</w:t>
      </w:r>
    </w:p>
    <w:p w:rsidR="00192181" w:rsidRDefault="00192181" w:rsidP="00192181">
      <w:r>
        <w:t xml:space="preserve">Essentially, Hume here </w:t>
      </w:r>
      <w:r w:rsidR="009D175D">
        <w:t>cautions</w:t>
      </w:r>
      <w:r>
        <w:t xml:space="preserve"> us against trusting ‘every trivial suggestion of the fancy’, since such a course of action would </w:t>
      </w:r>
      <w:r w:rsidR="00EA478C">
        <w:t xml:space="preserve">undermine </w:t>
      </w:r>
      <w:r>
        <w:t>reason and lead us to ‘credulity’. The other horn of the dilemma</w:t>
      </w:r>
      <w:r w:rsidR="000846A0">
        <w:t xml:space="preserve"> (henceforth ‘the sceptical horn’)</w:t>
      </w:r>
      <w:r>
        <w:t xml:space="preserve"> is no better:</w:t>
      </w:r>
    </w:p>
    <w:p w:rsidR="00192181" w:rsidRDefault="00192181" w:rsidP="00055519">
      <w:pPr>
        <w:pStyle w:val="HumeReference"/>
        <w:rPr>
          <w:lang w:val="en-SG"/>
        </w:rPr>
      </w:pPr>
      <w:r w:rsidRPr="00192181">
        <w:rPr>
          <w:lang w:val="en-SG"/>
        </w:rPr>
        <w:t>But on the other hand, if the consideration of these instances makes us take a resolution to reject all the trivial suggestions of the fancy, and adhere to the understanding, that is, to the general and more establish’d properties of the imagination; even this resolution, if steadily executed, wou’d be dangerous, and attended with the most fatal conseque</w:t>
      </w:r>
      <w:r>
        <w:rPr>
          <w:lang w:val="en-SG"/>
        </w:rPr>
        <w:t>nces. For I have already shewn,</w:t>
      </w:r>
      <w:r w:rsidRPr="00192181">
        <w:rPr>
          <w:lang w:val="en-SG"/>
        </w:rPr>
        <w:t> that the understanding, when it acts alone, and according to its most general principles, entirely subverts itself, and leaves not the lowest degree of evidence in any proposition, either in philosophy or</w:t>
      </w:r>
      <w:r>
        <w:rPr>
          <w:lang w:val="en-SG"/>
        </w:rPr>
        <w:t xml:space="preserve"> </w:t>
      </w:r>
      <w:r w:rsidRPr="00192181">
        <w:rPr>
          <w:lang w:val="en-SG"/>
        </w:rPr>
        <w:t>common life. We save ourselves from this total scepticism only by means of that singular and seemingly trivial property of the fancy, by which we enter with difficulty into remote views of things, and are not able to accompany them with so sensible an impression, as we do those, which are more easy and natural.</w:t>
      </w:r>
      <w:r w:rsidR="002C1335">
        <w:rPr>
          <w:lang w:val="en-SG"/>
        </w:rPr>
        <w:t xml:space="preserve"> (THN 1.4.7.7)</w:t>
      </w:r>
    </w:p>
    <w:p w:rsidR="00185767" w:rsidRDefault="00EA478C" w:rsidP="00192181">
      <w:pPr>
        <w:rPr>
          <w:lang w:val="en-SG"/>
        </w:rPr>
      </w:pPr>
      <w:r>
        <w:rPr>
          <w:lang w:val="en-SG"/>
        </w:rPr>
        <w:t>Th</w:t>
      </w:r>
      <w:r w:rsidR="000846A0">
        <w:rPr>
          <w:lang w:val="en-SG"/>
        </w:rPr>
        <w:t>e sceptical</w:t>
      </w:r>
      <w:r w:rsidR="00192181">
        <w:rPr>
          <w:lang w:val="en-SG"/>
        </w:rPr>
        <w:t xml:space="preserve"> horn </w:t>
      </w:r>
      <w:r w:rsidR="003E72EF">
        <w:rPr>
          <w:lang w:val="en-SG"/>
        </w:rPr>
        <w:t>has its roots in</w:t>
      </w:r>
      <w:r w:rsidR="00791604">
        <w:rPr>
          <w:lang w:val="en-SG"/>
        </w:rPr>
        <w:t xml:space="preserve"> Hume’s ‘Of scepticism with regard to r</w:t>
      </w:r>
      <w:r w:rsidR="00192181">
        <w:rPr>
          <w:lang w:val="en-SG"/>
        </w:rPr>
        <w:t xml:space="preserve">eason’ in THN 1.4.1. Briefly, Hume’s worry stems from the fact that we seem to be required to continually make higher-order judgments on the reliability of our judgments. Each iteration gradually undermines our beliefs until </w:t>
      </w:r>
      <w:r w:rsidR="009252F6">
        <w:rPr>
          <w:lang w:val="en-SG"/>
        </w:rPr>
        <w:t>nothing remains</w:t>
      </w:r>
      <w:r w:rsidR="00192181">
        <w:rPr>
          <w:lang w:val="en-SG"/>
        </w:rPr>
        <w:t xml:space="preserve">. </w:t>
      </w:r>
      <w:r w:rsidR="00DF082A">
        <w:rPr>
          <w:lang w:val="en-SG"/>
        </w:rPr>
        <w:t xml:space="preserve">Hume thinks we only escape this fate because of the ‘trivial property of the fancy’ (THN 1.4.7.7) that is the psychological difficulty we face in engaging with overly complex reflection and reasoning. </w:t>
      </w:r>
    </w:p>
    <w:p w:rsidR="00DF5A23" w:rsidRDefault="00185767" w:rsidP="00055519">
      <w:pPr>
        <w:ind w:firstLine="567"/>
        <w:rPr>
          <w:lang w:val="en-SG"/>
        </w:rPr>
      </w:pPr>
      <w:r>
        <w:rPr>
          <w:lang w:val="en-SG"/>
        </w:rPr>
        <w:t xml:space="preserve">In this section, I will </w:t>
      </w:r>
      <w:r w:rsidR="002623D6">
        <w:rPr>
          <w:lang w:val="en-SG"/>
        </w:rPr>
        <w:t>interpret</w:t>
      </w:r>
      <w:r w:rsidR="0070234D">
        <w:rPr>
          <w:lang w:val="en-SG"/>
        </w:rPr>
        <w:t xml:space="preserve"> the Dangerous D</w:t>
      </w:r>
      <w:r>
        <w:rPr>
          <w:lang w:val="en-SG"/>
        </w:rPr>
        <w:t xml:space="preserve">ilemma as embodying a false dichotomy between two deontological extremes: either </w:t>
      </w:r>
      <w:r w:rsidR="00E750AB">
        <w:rPr>
          <w:lang w:val="en-SG"/>
        </w:rPr>
        <w:t xml:space="preserve">it is not the case that we have any duty to reflect </w:t>
      </w:r>
      <w:r w:rsidR="00E750AB">
        <w:rPr>
          <w:lang w:val="en-SG"/>
        </w:rPr>
        <w:lastRenderedPageBreak/>
        <w:t>whatsoever</w:t>
      </w:r>
      <w:r>
        <w:rPr>
          <w:lang w:val="en-SG"/>
        </w:rPr>
        <w:t xml:space="preserve"> (</w:t>
      </w:r>
      <w:r w:rsidR="00B05F20">
        <w:rPr>
          <w:lang w:val="en-SG"/>
        </w:rPr>
        <w:t xml:space="preserve">engendering </w:t>
      </w:r>
      <w:r w:rsidR="000846A0">
        <w:rPr>
          <w:lang w:val="en-SG"/>
        </w:rPr>
        <w:t>the</w:t>
      </w:r>
      <w:r w:rsidR="006E6C6C">
        <w:rPr>
          <w:lang w:val="en-SG"/>
        </w:rPr>
        <w:t xml:space="preserve"> credulity</w:t>
      </w:r>
      <w:r w:rsidR="000846A0">
        <w:rPr>
          <w:lang w:val="en-SG"/>
        </w:rPr>
        <w:t xml:space="preserve"> horn</w:t>
      </w:r>
      <w:r>
        <w:rPr>
          <w:lang w:val="en-SG"/>
        </w:rPr>
        <w:t xml:space="preserve">), or </w:t>
      </w:r>
      <w:r w:rsidR="00E750AB">
        <w:rPr>
          <w:lang w:val="en-SG"/>
        </w:rPr>
        <w:t>we have an absolute duty to constantly and incessantly reflect</w:t>
      </w:r>
      <w:r>
        <w:rPr>
          <w:lang w:val="en-SG"/>
        </w:rPr>
        <w:t xml:space="preserve"> (</w:t>
      </w:r>
      <w:r w:rsidR="00B05F20">
        <w:rPr>
          <w:lang w:val="en-SG"/>
        </w:rPr>
        <w:t xml:space="preserve">engendering </w:t>
      </w:r>
      <w:r w:rsidR="000846A0">
        <w:rPr>
          <w:lang w:val="en-SG"/>
        </w:rPr>
        <w:t>the sceptical horn</w:t>
      </w:r>
      <w:r>
        <w:rPr>
          <w:lang w:val="en-SG"/>
        </w:rPr>
        <w:t>).</w:t>
      </w:r>
      <w:r w:rsidR="00A447A2">
        <w:rPr>
          <w:rStyle w:val="FootnoteReference"/>
          <w:lang w:val="en-SG"/>
        </w:rPr>
        <w:footnoteReference w:id="10"/>
      </w:r>
      <w:r w:rsidR="000734C3">
        <w:rPr>
          <w:lang w:val="en-SG"/>
        </w:rPr>
        <w:t xml:space="preserve"> </w:t>
      </w:r>
      <w:r w:rsidR="002C1335">
        <w:rPr>
          <w:lang w:val="en-SG"/>
        </w:rPr>
        <w:t>I proceed to</w:t>
      </w:r>
      <w:r w:rsidR="003C0084">
        <w:rPr>
          <w:lang w:val="en-SG"/>
        </w:rPr>
        <w:t xml:space="preserve"> argue that Hume straddles the horns of the </w:t>
      </w:r>
      <w:r w:rsidR="0070234D">
        <w:rPr>
          <w:lang w:val="en-SG"/>
        </w:rPr>
        <w:t>D</w:t>
      </w:r>
      <w:r w:rsidR="003C0084">
        <w:rPr>
          <w:lang w:val="en-SG"/>
        </w:rPr>
        <w:t xml:space="preserve">angerous </w:t>
      </w:r>
      <w:r w:rsidR="0070234D">
        <w:rPr>
          <w:lang w:val="en-SG"/>
        </w:rPr>
        <w:t>D</w:t>
      </w:r>
      <w:r w:rsidR="003C0084">
        <w:rPr>
          <w:lang w:val="en-SG"/>
        </w:rPr>
        <w:t xml:space="preserve">ilemma by recognising that there is a level of reflection that is supererogatory. </w:t>
      </w:r>
    </w:p>
    <w:p w:rsidR="0070234D" w:rsidRDefault="0070234D" w:rsidP="0070234D">
      <w:pPr>
        <w:ind w:firstLine="567"/>
      </w:pPr>
      <w:r>
        <w:t>The</w:t>
      </w:r>
      <w:r w:rsidR="00917123">
        <w:t xml:space="preserve">re is some </w:t>
      </w:r>
      <w:r w:rsidR="00917123">
        <w:rPr>
          <w:i/>
        </w:rPr>
        <w:t>prima facie</w:t>
      </w:r>
      <w:r w:rsidR="00917123">
        <w:t xml:space="preserve"> textual evidence for thinking that the</w:t>
      </w:r>
      <w:r>
        <w:t xml:space="preserve"> Dangerous Dilemma </w:t>
      </w:r>
      <w:r w:rsidR="00917123">
        <w:t>might have a deontic nature in THN 1.4.7</w:t>
      </w:r>
      <w:r>
        <w:t>. H</w:t>
      </w:r>
      <w:r w:rsidR="00917123">
        <w:t>um</w:t>
      </w:r>
      <w:r>
        <w:t>e characterises the central problem of the Dangerous Dilemma as the question of ‘how far ought we to yield to these illusions’:</w:t>
      </w:r>
    </w:p>
    <w:p w:rsidR="0070234D" w:rsidRDefault="0070234D" w:rsidP="0070234D">
      <w:pPr>
        <w:pStyle w:val="HumeReference"/>
      </w:pPr>
      <w:r>
        <w:t>…</w:t>
      </w:r>
      <w:r w:rsidRPr="00DD416B">
        <w:t>the question is, how far we ought to yield to these illusions. This question is very difficult, and reduces us to a very dangerous dilemma, which-ever way we answer it.</w:t>
      </w:r>
      <w:r>
        <w:t xml:space="preserve"> (THN 1.4.7.6)</w:t>
      </w:r>
    </w:p>
    <w:p w:rsidR="0070234D" w:rsidRPr="0070234D" w:rsidRDefault="0070234D" w:rsidP="0070234D">
      <w:r>
        <w:t>And upon initially failing to find a satisfactory resolution to it, he remarks: ‘</w:t>
      </w:r>
      <w:r w:rsidRPr="00DD416B">
        <w:t>For my part, I know not what ought</w:t>
      </w:r>
      <w:r>
        <w:t xml:space="preserve"> to be done in the present case’ (THN 1.4.7.7).</w:t>
      </w:r>
    </w:p>
    <w:p w:rsidR="000B1CBE" w:rsidRDefault="00917123" w:rsidP="0070234D">
      <w:pPr>
        <w:ind w:firstLine="720"/>
        <w:rPr>
          <w:lang w:val="en-SG"/>
        </w:rPr>
      </w:pPr>
      <w:r>
        <w:rPr>
          <w:lang w:val="en-SG"/>
        </w:rPr>
        <w:t>However, the above is relatively thin substantiation</w:t>
      </w:r>
      <w:r w:rsidR="00813729">
        <w:rPr>
          <w:lang w:val="en-SG"/>
        </w:rPr>
        <w:t xml:space="preserve"> for reading the Dangerous Dilemma as taking deontic shape</w:t>
      </w:r>
      <w:r>
        <w:rPr>
          <w:lang w:val="en-SG"/>
        </w:rPr>
        <w:t>; putting that aside, the deontic nature of the Dangerous Dilemma would still be woefully underdetermined. Thus,</w:t>
      </w:r>
      <w:r w:rsidR="00E341E4">
        <w:rPr>
          <w:lang w:val="en-SG"/>
        </w:rPr>
        <w:t xml:space="preserve"> we will need to more closely examine both horns of the </w:t>
      </w:r>
      <w:r w:rsidR="0070234D">
        <w:rPr>
          <w:lang w:val="en-SG"/>
        </w:rPr>
        <w:t>D</w:t>
      </w:r>
      <w:r w:rsidR="00E341E4">
        <w:rPr>
          <w:lang w:val="en-SG"/>
        </w:rPr>
        <w:t xml:space="preserve">angerous </w:t>
      </w:r>
      <w:r w:rsidR="0070234D">
        <w:rPr>
          <w:lang w:val="en-SG"/>
        </w:rPr>
        <w:t>D</w:t>
      </w:r>
      <w:r w:rsidR="00E341E4">
        <w:rPr>
          <w:lang w:val="en-SG"/>
        </w:rPr>
        <w:t>ilemma</w:t>
      </w:r>
      <w:r w:rsidR="00DC7775">
        <w:rPr>
          <w:lang w:val="en-SG"/>
        </w:rPr>
        <w:t>—</w:t>
      </w:r>
      <w:r w:rsidR="00E341E4">
        <w:rPr>
          <w:lang w:val="en-SG"/>
        </w:rPr>
        <w:t xml:space="preserve">the sceptical horn (which has its roots in THN 1.4.1), and the credulity horn (which I will argue has its roots in Hume’s discussion of general rules in THN 1.3.13). However, before examining the horns themselves, </w:t>
      </w:r>
      <w:r w:rsidR="004A48CB">
        <w:rPr>
          <w:lang w:val="en-SG"/>
        </w:rPr>
        <w:t>I will first</w:t>
      </w:r>
      <w:r w:rsidR="00185767">
        <w:rPr>
          <w:lang w:val="en-SG"/>
        </w:rPr>
        <w:t xml:space="preserve"> examine Hume on the ‘second influence of general rules’ (THN 1.3.13.12)</w:t>
      </w:r>
      <w:r w:rsidR="00E341E4" w:rsidRPr="00E341E4">
        <w:rPr>
          <w:lang w:val="en-SG"/>
        </w:rPr>
        <w:t xml:space="preserve"> </w:t>
      </w:r>
      <w:r w:rsidR="00CD5E44">
        <w:rPr>
          <w:lang w:val="en-SG"/>
        </w:rPr>
        <w:t xml:space="preserve">in order </w:t>
      </w:r>
      <w:r w:rsidR="00E341E4">
        <w:rPr>
          <w:lang w:val="en-SG"/>
        </w:rPr>
        <w:t>to lay the groundwork for these interpretive claims</w:t>
      </w:r>
      <w:r w:rsidR="00185767">
        <w:rPr>
          <w:lang w:val="en-SG"/>
        </w:rPr>
        <w:t xml:space="preserve">. </w:t>
      </w:r>
      <w:r w:rsidR="00D9567A">
        <w:rPr>
          <w:lang w:val="en-SG"/>
        </w:rPr>
        <w:t xml:space="preserve">This might surprise readers, since it is not immediately obvious that the </w:t>
      </w:r>
      <w:r w:rsidR="0070234D">
        <w:rPr>
          <w:lang w:val="en-SG"/>
        </w:rPr>
        <w:t>D</w:t>
      </w:r>
      <w:r w:rsidR="00D9567A">
        <w:rPr>
          <w:lang w:val="en-SG"/>
        </w:rPr>
        <w:t xml:space="preserve">angerous </w:t>
      </w:r>
      <w:r w:rsidR="0070234D">
        <w:rPr>
          <w:lang w:val="en-SG"/>
        </w:rPr>
        <w:t>D</w:t>
      </w:r>
      <w:r w:rsidR="00D9567A">
        <w:rPr>
          <w:lang w:val="en-SG"/>
        </w:rPr>
        <w:t>ilemma turns on this discussion. Nevertheless, I motivate that there is such a link</w:t>
      </w:r>
      <w:r w:rsidR="005E45C1">
        <w:rPr>
          <w:lang w:val="en-SG"/>
        </w:rPr>
        <w:t xml:space="preserve">, and this will prove vital in </w:t>
      </w:r>
      <w:r w:rsidR="00DA7D7F">
        <w:rPr>
          <w:lang w:val="en-SG"/>
        </w:rPr>
        <w:t>showing</w:t>
      </w:r>
      <w:r w:rsidR="005E45C1">
        <w:rPr>
          <w:lang w:val="en-SG"/>
        </w:rPr>
        <w:t xml:space="preserve"> that the </w:t>
      </w:r>
      <w:r w:rsidR="0070234D">
        <w:rPr>
          <w:lang w:val="en-SG"/>
        </w:rPr>
        <w:t>D</w:t>
      </w:r>
      <w:r w:rsidR="005E45C1">
        <w:rPr>
          <w:lang w:val="en-SG"/>
        </w:rPr>
        <w:t xml:space="preserve">angerous </w:t>
      </w:r>
      <w:r w:rsidR="0070234D">
        <w:rPr>
          <w:lang w:val="en-SG"/>
        </w:rPr>
        <w:t>D</w:t>
      </w:r>
      <w:r w:rsidR="005E45C1">
        <w:rPr>
          <w:lang w:val="en-SG"/>
        </w:rPr>
        <w:t xml:space="preserve">ilemma takes on a deontological form, </w:t>
      </w:r>
      <w:r w:rsidR="00DA7D7F">
        <w:rPr>
          <w:lang w:val="en-SG"/>
        </w:rPr>
        <w:t>concerning</w:t>
      </w:r>
      <w:r w:rsidR="005E45C1">
        <w:rPr>
          <w:lang w:val="en-SG"/>
        </w:rPr>
        <w:t xml:space="preserve"> duties of reflection.</w:t>
      </w:r>
    </w:p>
    <w:p w:rsidR="00316DF5" w:rsidRDefault="00316DF5" w:rsidP="00055519">
      <w:pPr>
        <w:ind w:firstLine="567"/>
      </w:pPr>
      <w:r>
        <w:rPr>
          <w:lang w:val="en-SG"/>
        </w:rPr>
        <w:t>Hume distinguishes between ‘philosophical’ and ‘unphilosophical’ probability; the former (which encompass the probabilities of chances and causes) are ‘</w:t>
      </w:r>
      <w:r w:rsidRPr="00316DF5">
        <w:t xml:space="preserve">allow’d to be </w:t>
      </w:r>
      <w:r w:rsidRPr="00316DF5">
        <w:lastRenderedPageBreak/>
        <w:t>reasonable foundations of belief and opinion</w:t>
      </w:r>
      <w:r>
        <w:t>’, while the latter ‘</w:t>
      </w:r>
      <w:r w:rsidRPr="00316DF5">
        <w:t>have not had the good fort</w:t>
      </w:r>
      <w:r>
        <w:t xml:space="preserve">une to obtain the same sanction’ (THN 1.3.13.1). We might characterise unphilosophical probabilities as those whereby our degree of belief is affected by factors which are epistemically irrelevant, such as recentness of observation (THN 1.3.13.2), </w:t>
      </w:r>
      <w:r w:rsidR="00453EEE">
        <w:t xml:space="preserve">or </w:t>
      </w:r>
      <w:r>
        <w:t>length and complexity of argument (THN 1.3.13.3</w:t>
      </w:r>
      <w:r w:rsidR="00453EEE">
        <w:t>)</w:t>
      </w:r>
      <w:r>
        <w:t xml:space="preserve">. </w:t>
      </w:r>
      <w:r w:rsidR="004B3A5F">
        <w:t>One important</w:t>
      </w:r>
      <w:r w:rsidR="00207D55">
        <w:t xml:space="preserve"> species of unphilosophical probability turns on the first influence of general rules (henceforth ‘first influence’), which are general rules for judgments that, in generalising our probable judgments, conflate the relevant and the irrelevant circumstances:</w:t>
      </w:r>
    </w:p>
    <w:p w:rsidR="00207D55" w:rsidRDefault="00207D55" w:rsidP="00207D55">
      <w:pPr>
        <w:pStyle w:val="HumeReference"/>
      </w:pPr>
      <w:r>
        <w:t>When an object appears, that resembles any cause in very considerable circumstances, the imagination naturally carries us to a lively conception of the usual effect, tho’ the object be different in the most material and most efficacious circumstances from that cause. Here is the first influence of general rules. (THN 1.3.13.12)</w:t>
      </w:r>
    </w:p>
    <w:p w:rsidR="00207D55" w:rsidRDefault="00207D55" w:rsidP="00207D55">
      <w:pPr>
        <w:rPr>
          <w:lang w:val="en-SG"/>
        </w:rPr>
      </w:pPr>
      <w:r>
        <w:rPr>
          <w:lang w:val="en-SG"/>
        </w:rPr>
        <w:t>This is in turn corrected by the second influence of general rules (henceforth ‘second influence’):</w:t>
      </w:r>
    </w:p>
    <w:p w:rsidR="00207D55" w:rsidRPr="00207D55" w:rsidRDefault="00207D55" w:rsidP="00207D55">
      <w:pPr>
        <w:pStyle w:val="HumeReference"/>
      </w:pPr>
      <w:r>
        <w:t>But when we take a review of this act of the mind, and compare it with the more general and authentic operations of the understanding, we find it to be of an irregular nature, and destructive of all the most establish’d principles of reasonings; which is the cause of our rejecting it. This is a second influence of general rules, and implies the condemnation of the former. (THN 1.3.13.12)</w:t>
      </w:r>
    </w:p>
    <w:p w:rsidR="00185767" w:rsidRDefault="00207D55" w:rsidP="00CE2948">
      <w:pPr>
        <w:rPr>
          <w:lang w:val="en-SG"/>
        </w:rPr>
      </w:pPr>
      <w:r>
        <w:rPr>
          <w:lang w:val="en-SG"/>
        </w:rPr>
        <w:t>The second influence ensures</w:t>
      </w:r>
      <w:r w:rsidR="00EE3B4F">
        <w:rPr>
          <w:lang w:val="en-SG"/>
        </w:rPr>
        <w:t xml:space="preserve"> that</w:t>
      </w:r>
      <w:r>
        <w:rPr>
          <w:lang w:val="en-SG"/>
        </w:rPr>
        <w:t xml:space="preserve"> we adequately discern the relevant from the irrelevant circumstances</w:t>
      </w:r>
      <w:r w:rsidR="00185767">
        <w:rPr>
          <w:lang w:val="en-SG"/>
        </w:rPr>
        <w:t>:</w:t>
      </w:r>
    </w:p>
    <w:p w:rsidR="00185767" w:rsidRDefault="00185767" w:rsidP="00055519">
      <w:pPr>
        <w:pStyle w:val="HumeReference"/>
        <w:rPr>
          <w:lang w:val="en-SG"/>
        </w:rPr>
      </w:pPr>
      <w:r>
        <w:rPr>
          <w:lang w:val="en-SG"/>
        </w:rPr>
        <w:t>We shall afterwards</w:t>
      </w:r>
      <w:r w:rsidRPr="00185767">
        <w:rPr>
          <w:lang w:val="en-SG"/>
        </w:rPr>
        <w:t xml:space="preserve"> take notice of some general rules, by which we ought to regulate our judgment concerning causes and effects; and these rules are form’d on the nature of our understanding, and on our experience of its operations in the judgments we form concerning objects. By them we learn to distinguish the accidental circumstances from the efficacious causes; and when we find that an effect can be produc’d without the concurrence of any particular circumstance, we conclude that that circumstance makes not a part of the efficacious cause, however frequently conjoin’d with it.</w:t>
      </w:r>
      <w:r>
        <w:rPr>
          <w:lang w:val="en-SG"/>
        </w:rPr>
        <w:t xml:space="preserve"> (THN 1.3.13.11)</w:t>
      </w:r>
    </w:p>
    <w:p w:rsidR="00185767" w:rsidRDefault="004811AE" w:rsidP="00192181">
      <w:pPr>
        <w:rPr>
          <w:lang w:val="en-SG"/>
        </w:rPr>
      </w:pPr>
      <w:r>
        <w:rPr>
          <w:lang w:val="en-SG"/>
        </w:rPr>
        <w:lastRenderedPageBreak/>
        <w:t xml:space="preserve">The </w:t>
      </w:r>
      <w:r w:rsidR="00735D1A">
        <w:rPr>
          <w:lang w:val="en-SG"/>
        </w:rPr>
        <w:t xml:space="preserve">instances of </w:t>
      </w:r>
      <w:r>
        <w:rPr>
          <w:lang w:val="en-SG"/>
        </w:rPr>
        <w:t xml:space="preserve">general rules referred to above are simply </w:t>
      </w:r>
      <w:r w:rsidR="00735D1A">
        <w:rPr>
          <w:lang w:val="en-SG"/>
        </w:rPr>
        <w:t xml:space="preserve">the </w:t>
      </w:r>
      <w:r>
        <w:rPr>
          <w:lang w:val="en-SG"/>
        </w:rPr>
        <w:t>‘Rules by which to judge of causes and effects’, explained in THN 1.3.15</w:t>
      </w:r>
      <w:r w:rsidR="00285474">
        <w:rPr>
          <w:lang w:val="en-SG"/>
        </w:rPr>
        <w:t>, which Hume refers his readers to in a footnote</w:t>
      </w:r>
      <w:r>
        <w:rPr>
          <w:lang w:val="en-SG"/>
        </w:rPr>
        <w:t>.</w:t>
      </w:r>
      <w:r w:rsidR="00285474">
        <w:rPr>
          <w:lang w:val="en-SG"/>
        </w:rPr>
        <w:t xml:space="preserve"> </w:t>
      </w:r>
    </w:p>
    <w:p w:rsidR="00CA4882" w:rsidRPr="003C0084" w:rsidRDefault="00385866" w:rsidP="003C0084">
      <w:pPr>
        <w:ind w:firstLine="567"/>
        <w:rPr>
          <w:lang w:val="en-SG"/>
        </w:rPr>
      </w:pPr>
      <w:r>
        <w:rPr>
          <w:lang w:val="en-SG"/>
        </w:rPr>
        <w:t xml:space="preserve">Importantly, note that the </w:t>
      </w:r>
      <w:r w:rsidR="00782195">
        <w:rPr>
          <w:lang w:val="en-SG"/>
        </w:rPr>
        <w:t>second influence i</w:t>
      </w:r>
      <w:r w:rsidR="00185767">
        <w:rPr>
          <w:lang w:val="en-SG"/>
        </w:rPr>
        <w:t xml:space="preserve">s </w:t>
      </w:r>
      <w:r w:rsidR="00B6358B">
        <w:rPr>
          <w:lang w:val="en-SG"/>
        </w:rPr>
        <w:t>intimately related to</w:t>
      </w:r>
      <w:r w:rsidR="00185767">
        <w:rPr>
          <w:lang w:val="en-SG"/>
        </w:rPr>
        <w:t xml:space="preserve"> </w:t>
      </w:r>
      <w:r w:rsidR="00185767">
        <w:rPr>
          <w:i/>
          <w:lang w:val="en-SG"/>
        </w:rPr>
        <w:t>reflection</w:t>
      </w:r>
      <w:r w:rsidR="00185767">
        <w:rPr>
          <w:lang w:val="en-SG"/>
        </w:rPr>
        <w:t>.</w:t>
      </w:r>
      <w:r w:rsidR="003C0084" w:rsidRPr="003C0084">
        <w:rPr>
          <w:vertAlign w:val="superscript"/>
          <w:lang w:val="en-SG"/>
        </w:rPr>
        <w:footnoteReference w:id="11"/>
      </w:r>
      <w:r w:rsidR="003C0084" w:rsidRPr="003C0084">
        <w:rPr>
          <w:lang w:val="en-SG"/>
        </w:rPr>
        <w:t xml:space="preserve"> </w:t>
      </w:r>
      <w:r w:rsidR="00185767">
        <w:rPr>
          <w:lang w:val="en-SG"/>
        </w:rPr>
        <w:t xml:space="preserve"> When acting on judgments caused by </w:t>
      </w:r>
      <w:r w:rsidR="00207D55">
        <w:rPr>
          <w:lang w:val="en-SG"/>
        </w:rPr>
        <w:t>the first influence</w:t>
      </w:r>
      <w:r w:rsidR="00185767">
        <w:rPr>
          <w:lang w:val="en-SG"/>
        </w:rPr>
        <w:t xml:space="preserve">, </w:t>
      </w:r>
      <w:r w:rsidR="006E6C6C">
        <w:rPr>
          <w:lang w:val="en-SG"/>
        </w:rPr>
        <w:t>the ‘second influence’</w:t>
      </w:r>
      <w:r w:rsidR="00185767">
        <w:rPr>
          <w:lang w:val="en-SG"/>
        </w:rPr>
        <w:t xml:space="preserve"> involves taking ‘a review of this act of the mind’, comparing it ‘with the more general and authentic operations of the understanding’, consequently dismissing it</w:t>
      </w:r>
      <w:r w:rsidR="00EE3B4F">
        <w:rPr>
          <w:lang w:val="en-SG"/>
        </w:rPr>
        <w:t xml:space="preserve"> (THN 1.3.13.12)</w:t>
      </w:r>
      <w:r w:rsidR="00185767">
        <w:rPr>
          <w:lang w:val="en-SG"/>
        </w:rPr>
        <w:t>. This ‘review’ is clearly an act of reflection</w:t>
      </w:r>
      <w:r w:rsidR="00EA478C">
        <w:rPr>
          <w:lang w:val="en-SG"/>
        </w:rPr>
        <w:t>;</w:t>
      </w:r>
      <w:r w:rsidR="004811AE">
        <w:rPr>
          <w:lang w:val="en-SG"/>
        </w:rPr>
        <w:t xml:space="preserve"> </w:t>
      </w:r>
      <w:r w:rsidR="00EA478C">
        <w:rPr>
          <w:lang w:val="en-SG"/>
        </w:rPr>
        <w:t>see</w:t>
      </w:r>
      <w:r w:rsidR="004811AE">
        <w:rPr>
          <w:lang w:val="en-SG"/>
        </w:rPr>
        <w:t xml:space="preserve"> Hume’s claim that ‘a</w:t>
      </w:r>
      <w:r w:rsidR="004811AE" w:rsidRPr="004811AE">
        <w:rPr>
          <w:lang w:val="en-SG"/>
        </w:rPr>
        <w:t xml:space="preserve"> like reflection on general rules keeps us from augmenting our belief upon every encrease of the force and vivacity of our ideas</w:t>
      </w:r>
      <w:r w:rsidR="004811AE">
        <w:rPr>
          <w:lang w:val="en-SG"/>
        </w:rPr>
        <w:t>’ (THN 1.3.10.12)</w:t>
      </w:r>
      <w:r w:rsidR="004811AE" w:rsidRPr="004811AE">
        <w:rPr>
          <w:lang w:val="en-SG"/>
        </w:rPr>
        <w:t>.</w:t>
      </w:r>
      <w:r w:rsidR="00CA4882" w:rsidRPr="00CA4882">
        <w:t xml:space="preserve"> </w:t>
      </w:r>
      <w:r w:rsidR="00CA4882">
        <w:t>Hume also notes that reflection can correct for the first influence of general rules:</w:t>
      </w:r>
      <w:r w:rsidR="003C0084" w:rsidRPr="003C0084">
        <w:rPr>
          <w:lang w:val="en-SG"/>
        </w:rPr>
        <w:t xml:space="preserve"> </w:t>
      </w:r>
    </w:p>
    <w:p w:rsidR="004811AE" w:rsidRDefault="00CA4882" w:rsidP="00055519">
      <w:pPr>
        <w:pStyle w:val="HumeReference"/>
        <w:rPr>
          <w:lang w:val="en-SG"/>
        </w:rPr>
      </w:pPr>
      <w:r w:rsidRPr="00CA4882">
        <w:rPr>
          <w:lang w:val="en-SG"/>
        </w:rPr>
        <w:t>We may correct this propensity by a reflection on the nature of those circumstances; but ’tis still certain, that custom takes the start, and gives a biass to the imagination.</w:t>
      </w:r>
      <w:r>
        <w:rPr>
          <w:lang w:val="en-SG"/>
        </w:rPr>
        <w:t xml:space="preserve"> (THN 1.3.13.9)</w:t>
      </w:r>
    </w:p>
    <w:p w:rsidR="00185767" w:rsidRPr="00185767" w:rsidRDefault="00813729" w:rsidP="002C1335">
      <w:pPr>
        <w:rPr>
          <w:lang w:val="en-SG"/>
        </w:rPr>
      </w:pPr>
      <w:r>
        <w:rPr>
          <w:lang w:val="en-SG"/>
        </w:rPr>
        <w:t>Hume also emphasises that the second influence involves forming higher-order judgments which are ‘deriv’d from the nature of the understanding’ rather than ‘from the nature of the object</w:t>
      </w:r>
      <w:r w:rsidR="00DC7775">
        <w:rPr>
          <w:lang w:val="en-SG"/>
        </w:rPr>
        <w:t>’—</w:t>
      </w:r>
      <w:r>
        <w:rPr>
          <w:lang w:val="en-SG"/>
        </w:rPr>
        <w:t xml:space="preserve">in short, </w:t>
      </w:r>
      <w:r w:rsidR="006727E6">
        <w:rPr>
          <w:lang w:val="en-SG"/>
        </w:rPr>
        <w:t xml:space="preserve">the second influence involves introspective reflection on our mental states and faculties. </w:t>
      </w:r>
      <w:r w:rsidR="009C43FC">
        <w:rPr>
          <w:lang w:val="en-SG"/>
        </w:rPr>
        <w:t xml:space="preserve">With </w:t>
      </w:r>
      <w:r w:rsidR="006727E6">
        <w:rPr>
          <w:lang w:val="en-SG"/>
        </w:rPr>
        <w:t>this</w:t>
      </w:r>
      <w:r w:rsidR="009C43FC">
        <w:rPr>
          <w:lang w:val="en-SG"/>
        </w:rPr>
        <w:t xml:space="preserve"> in mind, w</w:t>
      </w:r>
      <w:r w:rsidR="00285474">
        <w:rPr>
          <w:lang w:val="en-SG"/>
        </w:rPr>
        <w:t xml:space="preserve">e can now see why the </w:t>
      </w:r>
      <w:r w:rsidR="0070234D">
        <w:rPr>
          <w:lang w:val="en-SG"/>
        </w:rPr>
        <w:t>D</w:t>
      </w:r>
      <w:r w:rsidR="00285474">
        <w:rPr>
          <w:lang w:val="en-SG"/>
        </w:rPr>
        <w:t xml:space="preserve">angerous </w:t>
      </w:r>
      <w:r w:rsidR="0070234D">
        <w:rPr>
          <w:lang w:val="en-SG"/>
        </w:rPr>
        <w:t>D</w:t>
      </w:r>
      <w:r w:rsidR="00285474">
        <w:rPr>
          <w:lang w:val="en-SG"/>
        </w:rPr>
        <w:t>ilemma embodies a false dichotomy between embracing an absolute duty to</w:t>
      </w:r>
      <w:r w:rsidR="00BF0946">
        <w:rPr>
          <w:lang w:val="en-SG"/>
        </w:rPr>
        <w:t xml:space="preserve"> exhaustively</w:t>
      </w:r>
      <w:r w:rsidR="00285474">
        <w:rPr>
          <w:lang w:val="en-SG"/>
        </w:rPr>
        <w:t xml:space="preserve"> reflect, and a denial of any duty to reflect</w:t>
      </w:r>
      <w:r w:rsidR="00E750AB">
        <w:rPr>
          <w:lang w:val="en-SG"/>
        </w:rPr>
        <w:t xml:space="preserve"> whatsoever</w:t>
      </w:r>
      <w:r w:rsidR="00285474">
        <w:rPr>
          <w:lang w:val="en-SG"/>
        </w:rPr>
        <w:t>.</w:t>
      </w:r>
    </w:p>
    <w:p w:rsidR="00F57C39" w:rsidRDefault="00285474" w:rsidP="00285474">
      <w:pPr>
        <w:ind w:firstLine="567"/>
        <w:rPr>
          <w:lang w:val="en-SG"/>
        </w:rPr>
      </w:pPr>
      <w:r>
        <w:rPr>
          <w:lang w:val="en-SG"/>
        </w:rPr>
        <w:t xml:space="preserve">Let us begin by examining the </w:t>
      </w:r>
      <w:r w:rsidR="009D175D">
        <w:rPr>
          <w:lang w:val="en-SG"/>
        </w:rPr>
        <w:t>sceptical</w:t>
      </w:r>
      <w:r w:rsidR="009C43FC">
        <w:rPr>
          <w:lang w:val="en-SG"/>
        </w:rPr>
        <w:t xml:space="preserve"> horn</w:t>
      </w:r>
      <w:r w:rsidR="00606171">
        <w:rPr>
          <w:lang w:val="en-SG"/>
        </w:rPr>
        <w:t xml:space="preserve">. It is widely recognised in the secondary literature that this horn of the </w:t>
      </w:r>
      <w:r w:rsidR="0070234D">
        <w:rPr>
          <w:lang w:val="en-SG"/>
        </w:rPr>
        <w:t>D</w:t>
      </w:r>
      <w:r w:rsidR="00606171">
        <w:rPr>
          <w:lang w:val="en-SG"/>
        </w:rPr>
        <w:t xml:space="preserve">angerous </w:t>
      </w:r>
      <w:r w:rsidR="0070234D">
        <w:rPr>
          <w:lang w:val="en-SG"/>
        </w:rPr>
        <w:t>D</w:t>
      </w:r>
      <w:r w:rsidR="00606171">
        <w:rPr>
          <w:lang w:val="en-SG"/>
        </w:rPr>
        <w:t>ilemma</w:t>
      </w:r>
      <w:r w:rsidR="00E341E4">
        <w:rPr>
          <w:lang w:val="en-SG"/>
        </w:rPr>
        <w:t xml:space="preserve"> stems from THN 1.4.1</w:t>
      </w:r>
      <w:r>
        <w:rPr>
          <w:lang w:val="en-SG"/>
        </w:rPr>
        <w:t>.</w:t>
      </w:r>
      <w:r w:rsidR="00791604">
        <w:rPr>
          <w:rStyle w:val="FootnoteReference"/>
          <w:lang w:val="en-SG"/>
        </w:rPr>
        <w:footnoteReference w:id="12"/>
      </w:r>
      <w:r w:rsidR="00606171">
        <w:rPr>
          <w:lang w:val="en-SG"/>
        </w:rPr>
        <w:t xml:space="preserve"> However</w:t>
      </w:r>
      <w:r w:rsidR="00D9567A">
        <w:rPr>
          <w:lang w:val="en-SG"/>
        </w:rPr>
        <w:t>, what has been</w:t>
      </w:r>
      <w:r w:rsidR="006F1817">
        <w:rPr>
          <w:lang w:val="en-SG"/>
        </w:rPr>
        <w:t xml:space="preserve"> little</w:t>
      </w:r>
      <w:r w:rsidR="00D9567A">
        <w:rPr>
          <w:lang w:val="en-SG"/>
        </w:rPr>
        <w:t xml:space="preserve"> noted is the sceptical argument contained in this section arises</w:t>
      </w:r>
      <w:r w:rsidR="00606171">
        <w:rPr>
          <w:lang w:val="en-SG"/>
        </w:rPr>
        <w:t xml:space="preserve"> </w:t>
      </w:r>
      <w:r w:rsidR="00D9567A">
        <w:rPr>
          <w:lang w:val="en-SG"/>
        </w:rPr>
        <w:t>from distinctly deontological considerations</w:t>
      </w:r>
      <w:r w:rsidR="00606171">
        <w:rPr>
          <w:lang w:val="en-SG"/>
        </w:rPr>
        <w:t>.</w:t>
      </w:r>
      <w:r w:rsidR="006F1817">
        <w:rPr>
          <w:rStyle w:val="FootnoteReference"/>
          <w:lang w:val="en-SG"/>
        </w:rPr>
        <w:footnoteReference w:id="13"/>
      </w:r>
      <w:r>
        <w:rPr>
          <w:lang w:val="en-SG"/>
        </w:rPr>
        <w:t xml:space="preserve"> </w:t>
      </w:r>
      <w:r w:rsidR="009F5D66">
        <w:rPr>
          <w:lang w:val="en-SG"/>
        </w:rPr>
        <w:t xml:space="preserve">The core of Hume’s problem </w:t>
      </w:r>
      <w:r>
        <w:rPr>
          <w:lang w:val="en-SG"/>
        </w:rPr>
        <w:t xml:space="preserve">here </w:t>
      </w:r>
      <w:r w:rsidR="009F5D66">
        <w:rPr>
          <w:lang w:val="en-SG"/>
        </w:rPr>
        <w:t xml:space="preserve">obviously stems from the </w:t>
      </w:r>
      <w:r w:rsidR="009F5D66">
        <w:rPr>
          <w:lang w:val="en-SG"/>
        </w:rPr>
        <w:lastRenderedPageBreak/>
        <w:t>seeming requirement that we always make higher-order judgments</w:t>
      </w:r>
      <w:r w:rsidR="004D24E6">
        <w:rPr>
          <w:lang w:val="en-SG"/>
        </w:rPr>
        <w:t xml:space="preserve"> </w:t>
      </w:r>
      <w:r w:rsidR="003A146E">
        <w:rPr>
          <w:lang w:val="en-SG"/>
        </w:rPr>
        <w:t>regarding</w:t>
      </w:r>
      <w:r w:rsidR="004D24E6">
        <w:rPr>
          <w:lang w:val="en-SG"/>
        </w:rPr>
        <w:t xml:space="preserve"> the reliability of our judgments and faculties</w:t>
      </w:r>
      <w:r w:rsidR="009F5D66">
        <w:rPr>
          <w:lang w:val="en-SG"/>
        </w:rPr>
        <w:t>.</w:t>
      </w:r>
      <w:r w:rsidR="00F57C39">
        <w:rPr>
          <w:lang w:val="en-SG"/>
        </w:rPr>
        <w:t xml:space="preserve"> Indeed, without such a duty, it is difficult to see why Hume’s </w:t>
      </w:r>
      <w:r w:rsidR="004B5868">
        <w:rPr>
          <w:lang w:val="en-SG"/>
        </w:rPr>
        <w:t xml:space="preserve">doomsday </w:t>
      </w:r>
      <w:r w:rsidR="00F57C39">
        <w:rPr>
          <w:lang w:val="en-SG"/>
        </w:rPr>
        <w:t>scenario is compelling at all</w:t>
      </w:r>
      <w:r w:rsidR="00DC7775">
        <w:rPr>
          <w:lang w:val="en-SG"/>
        </w:rPr>
        <w:t>—</w:t>
      </w:r>
      <w:r w:rsidR="00F57C39">
        <w:rPr>
          <w:lang w:val="en-SG"/>
        </w:rPr>
        <w:t xml:space="preserve">so what if higher-order reflection undermines our beliefs, if </w:t>
      </w:r>
      <w:r w:rsidR="00222659">
        <w:rPr>
          <w:lang w:val="en-SG"/>
        </w:rPr>
        <w:t>it is not the case that we ought to</w:t>
      </w:r>
      <w:r w:rsidR="00F57C39">
        <w:rPr>
          <w:lang w:val="en-SG"/>
        </w:rPr>
        <w:t xml:space="preserve"> engage in such higher-order reasoning in the first place? </w:t>
      </w:r>
      <w:r w:rsidR="00777855">
        <w:rPr>
          <w:lang w:val="en-SG"/>
        </w:rPr>
        <w:t>W</w:t>
      </w:r>
      <w:r w:rsidR="00F57C39">
        <w:rPr>
          <w:lang w:val="en-SG"/>
        </w:rPr>
        <w:t xml:space="preserve">ithout any genuine requirement to engage in higher-order reflection, the sceptical horn </w:t>
      </w:r>
      <w:r w:rsidR="00C4616F">
        <w:rPr>
          <w:lang w:val="en-SG"/>
        </w:rPr>
        <w:t>remains</w:t>
      </w:r>
      <w:r w:rsidR="00F57C39">
        <w:rPr>
          <w:lang w:val="en-SG"/>
        </w:rPr>
        <w:t xml:space="preserve"> </w:t>
      </w:r>
      <w:r w:rsidR="00043847">
        <w:rPr>
          <w:lang w:val="en-SG"/>
        </w:rPr>
        <w:t>little</w:t>
      </w:r>
      <w:r w:rsidR="00F57C39">
        <w:rPr>
          <w:lang w:val="en-SG"/>
        </w:rPr>
        <w:t xml:space="preserve"> more than a</w:t>
      </w:r>
      <w:r w:rsidR="000B7B42">
        <w:rPr>
          <w:lang w:val="en-SG"/>
        </w:rPr>
        <w:t>n idle</w:t>
      </w:r>
      <w:r w:rsidR="00C35B30">
        <w:rPr>
          <w:lang w:val="en-SG"/>
        </w:rPr>
        <w:t xml:space="preserve"> curiosity</w:t>
      </w:r>
      <w:r w:rsidR="00F57C39">
        <w:rPr>
          <w:lang w:val="en-SG"/>
        </w:rPr>
        <w:t>.</w:t>
      </w:r>
    </w:p>
    <w:p w:rsidR="004D24E6" w:rsidRPr="004D24E6" w:rsidRDefault="00F57C39" w:rsidP="00285474">
      <w:pPr>
        <w:ind w:firstLine="567"/>
        <w:rPr>
          <w:lang w:val="en-SG"/>
        </w:rPr>
      </w:pPr>
      <w:r>
        <w:rPr>
          <w:lang w:val="en-SG"/>
        </w:rPr>
        <w:t>In line with this, it turns out that</w:t>
      </w:r>
      <w:r w:rsidR="004D24E6">
        <w:rPr>
          <w:lang w:val="en-SG"/>
        </w:rPr>
        <w:t xml:space="preserve"> Hume’s discussion of this</w:t>
      </w:r>
      <w:r w:rsidR="004E2E98">
        <w:rPr>
          <w:lang w:val="en-SG"/>
        </w:rPr>
        <w:t xml:space="preserve"> issue</w:t>
      </w:r>
      <w:r w:rsidR="0035205C">
        <w:rPr>
          <w:lang w:val="en-SG"/>
        </w:rPr>
        <w:t xml:space="preserve"> is</w:t>
      </w:r>
      <w:r w:rsidR="003C1205">
        <w:rPr>
          <w:lang w:val="en-SG"/>
        </w:rPr>
        <w:t xml:space="preserve"> indeed</w:t>
      </w:r>
      <w:r w:rsidR="0035205C">
        <w:rPr>
          <w:lang w:val="en-SG"/>
        </w:rPr>
        <w:t xml:space="preserve"> </w:t>
      </w:r>
      <w:r w:rsidR="00C4616F">
        <w:rPr>
          <w:lang w:val="en-SG"/>
        </w:rPr>
        <w:t>couched</w:t>
      </w:r>
      <w:r w:rsidR="0035205C">
        <w:rPr>
          <w:lang w:val="en-SG"/>
        </w:rPr>
        <w:t xml:space="preserve"> in distinctly </w:t>
      </w:r>
      <w:r w:rsidR="004D24E6">
        <w:rPr>
          <w:lang w:val="en-SG"/>
        </w:rPr>
        <w:t>deontological terms. In arguing that knowledge degenerates into probability, Hume claims that we ‘</w:t>
      </w:r>
      <w:r w:rsidR="004D24E6" w:rsidRPr="004D24E6">
        <w:rPr>
          <w:lang w:val="en-SG"/>
        </w:rPr>
        <w:t>must</w:t>
      </w:r>
      <w:r w:rsidR="004D24E6">
        <w:rPr>
          <w:lang w:val="en-SG"/>
        </w:rPr>
        <w:t>’ reflect on the fallibility of our understanding:</w:t>
      </w:r>
    </w:p>
    <w:p w:rsidR="004D24E6" w:rsidRDefault="004D24E6" w:rsidP="00055519">
      <w:pPr>
        <w:pStyle w:val="HumeReference"/>
        <w:rPr>
          <w:lang w:val="en-SG"/>
        </w:rPr>
      </w:pPr>
      <w:r w:rsidRPr="004D24E6">
        <w:rPr>
          <w:lang w:val="en-SG"/>
        </w:rPr>
        <w:t>We must, therefore, in every reasoning form a new judgment, as a check or controul on our first judgment or belief</w:t>
      </w:r>
      <w:r w:rsidR="002C1335">
        <w:rPr>
          <w:lang w:val="en-SG"/>
        </w:rPr>
        <w:t>..</w:t>
      </w:r>
      <w:r w:rsidRPr="004D24E6">
        <w:rPr>
          <w:lang w:val="en-SG"/>
        </w:rPr>
        <w:t>.</w:t>
      </w:r>
      <w:r>
        <w:rPr>
          <w:lang w:val="en-SG"/>
        </w:rPr>
        <w:t xml:space="preserve"> (THN 1.4.1.1)</w:t>
      </w:r>
    </w:p>
    <w:p w:rsidR="00192181" w:rsidRPr="00192181" w:rsidRDefault="004D24E6" w:rsidP="009222CA">
      <w:pPr>
        <w:rPr>
          <w:lang w:val="en-SG"/>
        </w:rPr>
      </w:pPr>
      <w:r>
        <w:rPr>
          <w:lang w:val="en-SG"/>
        </w:rPr>
        <w:t xml:space="preserve">And with respect to judgments of probability, </w:t>
      </w:r>
      <w:r w:rsidR="009F5D66">
        <w:rPr>
          <w:lang w:val="en-SG"/>
        </w:rPr>
        <w:t xml:space="preserve">Hume says that ‘we ought always’ to </w:t>
      </w:r>
      <w:r>
        <w:rPr>
          <w:lang w:val="en-SG"/>
        </w:rPr>
        <w:t>perform higher-order reflection</w:t>
      </w:r>
      <w:r w:rsidR="000734C3">
        <w:rPr>
          <w:lang w:val="en-SG"/>
        </w:rPr>
        <w:t xml:space="preserve"> </w:t>
      </w:r>
      <w:r>
        <w:rPr>
          <w:lang w:val="en-SG"/>
        </w:rPr>
        <w:t>on the reliability of the lower-order judgments</w:t>
      </w:r>
      <w:r w:rsidR="009F5D66">
        <w:rPr>
          <w:lang w:val="en-SG"/>
        </w:rPr>
        <w:t>:</w:t>
      </w:r>
      <w:r w:rsidR="00DA1387">
        <w:rPr>
          <w:rStyle w:val="FootnoteReference"/>
          <w:lang w:val="en-SG"/>
        </w:rPr>
        <w:footnoteReference w:id="14"/>
      </w:r>
    </w:p>
    <w:p w:rsidR="00192181" w:rsidRDefault="00192181" w:rsidP="00055519">
      <w:pPr>
        <w:pStyle w:val="HumeReference"/>
      </w:pPr>
      <w:r>
        <w:t>In every judgment, which we can form concerning probability, as well as concerning knowledge, we ought always to correct the first judgment, deriv’d from the nature of the object, by another judgment, deriv’d from the nature of the understanding. (THN 1.4.1.5)</w:t>
      </w:r>
    </w:p>
    <w:p w:rsidR="009F5D66" w:rsidRDefault="009222CA" w:rsidP="009F5D66">
      <w:r>
        <w:t>Moreover, Hume</w:t>
      </w:r>
      <w:r w:rsidR="009F5D66">
        <w:t xml:space="preserve"> also describes such a course as required by ‘all the rules of logic’.</w:t>
      </w:r>
    </w:p>
    <w:p w:rsidR="000C0338" w:rsidRDefault="009F5D66" w:rsidP="00055519">
      <w:pPr>
        <w:pStyle w:val="HumeReference"/>
      </w:pPr>
      <w:r>
        <w:t>…</w:t>
      </w:r>
      <w:r w:rsidR="00192181" w:rsidRPr="00192181">
        <w:t>all the rules of logic require a continual diminution, and at last a total extinction of belief and evidence.</w:t>
      </w:r>
      <w:r w:rsidR="00192181">
        <w:t xml:space="preserve"> (THN 1.4.1.6)</w:t>
      </w:r>
    </w:p>
    <w:p w:rsidR="007262F4" w:rsidRDefault="008E229D" w:rsidP="009F5D66">
      <w:r>
        <w:lastRenderedPageBreak/>
        <w:t xml:space="preserve">Thus, </w:t>
      </w:r>
      <w:r w:rsidR="00C35B30">
        <w:t xml:space="preserve">a requirement to incessantly engage in </w:t>
      </w:r>
      <w:r>
        <w:t>higher-order reflection engenders the sceptical horn.</w:t>
      </w:r>
      <w:r w:rsidR="00921371">
        <w:rPr>
          <w:rStyle w:val="FootnoteReference"/>
        </w:rPr>
        <w:footnoteReference w:id="15"/>
      </w:r>
      <w:r w:rsidR="005D7C72">
        <w:t xml:space="preserve"> </w:t>
      </w:r>
    </w:p>
    <w:p w:rsidR="007262F4" w:rsidRDefault="00735D1A" w:rsidP="007262F4">
      <w:pPr>
        <w:ind w:firstLine="567"/>
      </w:pPr>
      <w:r>
        <w:t>An</w:t>
      </w:r>
      <w:r w:rsidR="00A77FBB">
        <w:t xml:space="preserve"> example of </w:t>
      </w:r>
      <w:r w:rsidR="003A146E">
        <w:t>such</w:t>
      </w:r>
      <w:r w:rsidR="00A77FBB">
        <w:t xml:space="preserve"> obligation</w:t>
      </w:r>
      <w:r>
        <w:t>s</w:t>
      </w:r>
      <w:r w:rsidR="00A77FBB">
        <w:t xml:space="preserve"> to reflect might be Hume’s own</w:t>
      </w:r>
      <w:r w:rsidR="00262398">
        <w:t xml:space="preserve"> </w:t>
      </w:r>
      <w:r w:rsidR="00262398" w:rsidRPr="00262398">
        <w:t xml:space="preserve">‘Rules by which to judge of causes and effects’ in THN 1.3.15, which </w:t>
      </w:r>
      <w:r w:rsidR="003A146E">
        <w:t>are an importance instance of</w:t>
      </w:r>
      <w:r w:rsidR="00262398" w:rsidRPr="00262398">
        <w:t xml:space="preserve"> the se</w:t>
      </w:r>
      <w:r w:rsidR="00A77FBB">
        <w:t xml:space="preserve">cond influence of general rules. These seem </w:t>
      </w:r>
      <w:r w:rsidR="007262F4">
        <w:t xml:space="preserve">like </w:t>
      </w:r>
      <w:r w:rsidR="003A146E">
        <w:t>a salient</w:t>
      </w:r>
      <w:r w:rsidR="00A77FBB">
        <w:t xml:space="preserve"> candidate for the ‘rules of logic’ that engender ‘a total extinction of belief and evidence’ (THN 1.4.1.6):</w:t>
      </w:r>
      <w:r w:rsidR="00262398" w:rsidRPr="00262398">
        <w:t xml:space="preserve"> he says of these rules, ‘here is all the Logic I think proper to employ in my reasoning…’ (THN 1.3.15.11).</w:t>
      </w:r>
      <w:r w:rsidR="007262F4">
        <w:rPr>
          <w:rStyle w:val="FootnoteReference"/>
        </w:rPr>
        <w:footnoteReference w:id="16"/>
      </w:r>
      <w:r w:rsidR="00262398">
        <w:t xml:space="preserve"> </w:t>
      </w:r>
      <w:r w:rsidR="003A146E">
        <w:t xml:space="preserve">Thus, the sceptical horn of the </w:t>
      </w:r>
      <w:r w:rsidR="0070234D">
        <w:t>D</w:t>
      </w:r>
      <w:r w:rsidR="003A146E">
        <w:t xml:space="preserve">angerous </w:t>
      </w:r>
      <w:r w:rsidR="0070234D">
        <w:t>D</w:t>
      </w:r>
      <w:r w:rsidR="003A146E">
        <w:t>ilemma seems tied to the second influence of general rules.</w:t>
      </w:r>
    </w:p>
    <w:p w:rsidR="005D7C72" w:rsidRDefault="00262398" w:rsidP="007262F4">
      <w:pPr>
        <w:ind w:firstLine="567"/>
      </w:pPr>
      <w:r>
        <w:t xml:space="preserve">That </w:t>
      </w:r>
      <w:r w:rsidR="003A146E">
        <w:t>the problematic</w:t>
      </w:r>
      <w:r>
        <w:t xml:space="preserve"> higher-order </w:t>
      </w:r>
      <w:r w:rsidR="005D7C72">
        <w:t>judgments</w:t>
      </w:r>
      <w:r w:rsidR="003A146E">
        <w:t xml:space="preserve"> described in THN 1.4.1</w:t>
      </w:r>
      <w:r w:rsidR="005D7C72">
        <w:t xml:space="preserve"> </w:t>
      </w:r>
      <w:r w:rsidR="001E25BB">
        <w:t>have their roots in</w:t>
      </w:r>
      <w:r>
        <w:t xml:space="preserve"> the second influence can also be verified by Hume’s characterisation of </w:t>
      </w:r>
      <w:r w:rsidR="00532637">
        <w:t xml:space="preserve">this reflection: these </w:t>
      </w:r>
      <w:r w:rsidR="005D7C72">
        <w:t>higher-order</w:t>
      </w:r>
      <w:r w:rsidR="00532637">
        <w:t xml:space="preserve"> judgments are formed ‘as a check’ (THN 1.4.1.1) on our beliefs, in the same way the second influence checks the first influence, as detailed in THN 1.3.13.12. Moreover, unlike the first judgment, these higher-order judgments are ‘deriv’d from the nature of the understanding’, rather than ‘from the nature of the object’ (THN 1.4.1.5). This seems to correspond to Hume’s description of his ‘Rules by which to </w:t>
      </w:r>
      <w:r w:rsidR="00E341E4">
        <w:t>judge of causes and effects’ as</w:t>
      </w:r>
      <w:r w:rsidR="00532637">
        <w:t xml:space="preserve"> being ‘form’d on the nature of our understanding, and on our experience of its operations in the judgments we form concerning objects’ (THN 1.3.13.11). </w:t>
      </w:r>
    </w:p>
    <w:p w:rsidR="009F5D66" w:rsidRDefault="005D7C72" w:rsidP="005D7C72">
      <w:pPr>
        <w:ind w:firstLine="567"/>
      </w:pPr>
      <w:r>
        <w:lastRenderedPageBreak/>
        <w:t>Putting this together</w:t>
      </w:r>
      <w:r w:rsidR="009F5D66">
        <w:t>,</w:t>
      </w:r>
      <w:r w:rsidR="00285474">
        <w:t xml:space="preserve"> </w:t>
      </w:r>
      <w:r w:rsidR="00D14F6A">
        <w:t>on Hume’s view,</w:t>
      </w:r>
      <w:r w:rsidR="00791604">
        <w:t xml:space="preserve"> </w:t>
      </w:r>
      <w:r w:rsidR="00285474">
        <w:t>if we embrace the view that</w:t>
      </w:r>
      <w:r w:rsidR="009F5D66">
        <w:t xml:space="preserve"> we have a</w:t>
      </w:r>
      <w:r w:rsidR="00285474">
        <w:t>n absolute</w:t>
      </w:r>
      <w:r w:rsidR="009F5D66">
        <w:t xml:space="preserve"> duty to continually and incessantly reflect</w:t>
      </w:r>
      <w:r w:rsidR="00262398">
        <w:t xml:space="preserve"> in accordance with the second influence </w:t>
      </w:r>
      <w:r w:rsidR="00285474">
        <w:t>(</w:t>
      </w:r>
      <w:r w:rsidR="0035205C">
        <w:t>as per</w:t>
      </w:r>
      <w:r w:rsidR="00285474">
        <w:t xml:space="preserve"> THN 1.4.1)</w:t>
      </w:r>
      <w:r w:rsidR="009F5D66">
        <w:t>, this directly leads t</w:t>
      </w:r>
      <w:r w:rsidR="00285474">
        <w:t xml:space="preserve">o the extinction of our beliefs, </w:t>
      </w:r>
      <w:r w:rsidR="009D175D">
        <w:t>that is, the sceptical horn</w:t>
      </w:r>
      <w:r w:rsidR="00285474">
        <w:t>.</w:t>
      </w:r>
    </w:p>
    <w:p w:rsidR="00516B88" w:rsidRDefault="00E750AB" w:rsidP="00055519">
      <w:pPr>
        <w:ind w:firstLine="567"/>
      </w:pPr>
      <w:r>
        <w:t>On the other hand</w:t>
      </w:r>
      <w:r w:rsidR="009D175D">
        <w:t>, we can see the credulity</w:t>
      </w:r>
      <w:r w:rsidR="009F5D66">
        <w:t xml:space="preserve"> horn as embodying the rejection of any duty to reflect</w:t>
      </w:r>
      <w:r>
        <w:t xml:space="preserve"> to any degree</w:t>
      </w:r>
      <w:r w:rsidR="009F5D66">
        <w:t>.</w:t>
      </w:r>
      <w:r w:rsidR="00E341E4">
        <w:t xml:space="preserve"> This is a natural reading, both by contrast with the sceptical horn, and </w:t>
      </w:r>
      <w:r w:rsidR="003A146E">
        <w:t xml:space="preserve">also </w:t>
      </w:r>
      <w:r w:rsidR="00E341E4">
        <w:t xml:space="preserve">more directly, from </w:t>
      </w:r>
      <w:r w:rsidR="004B5868">
        <w:t>a straightforward examination of</w:t>
      </w:r>
      <w:r w:rsidR="00E341E4">
        <w:t xml:space="preserve"> Hume’s discussion of credulous belief in THN 1.3.13.</w:t>
      </w:r>
      <w:r w:rsidR="009F5D66">
        <w:t xml:space="preserve"> Hume undoubtedly sees </w:t>
      </w:r>
      <w:r w:rsidR="009222CA">
        <w:t>a</w:t>
      </w:r>
      <w:r w:rsidR="009F5D66">
        <w:t xml:space="preserve"> lack of reflection a</w:t>
      </w:r>
      <w:r w:rsidR="000C0338">
        <w:t>s</w:t>
      </w:r>
      <w:r w:rsidR="009F5D66">
        <w:t xml:space="preserve"> engendering ‘errors, absurdities, and obscurities</w:t>
      </w:r>
      <w:r w:rsidR="000C0338">
        <w:t>’</w:t>
      </w:r>
      <w:r w:rsidR="004D24E6">
        <w:t xml:space="preserve"> and ‘credulity’</w:t>
      </w:r>
      <w:r w:rsidR="009F5D66">
        <w:t xml:space="preserve"> (THN</w:t>
      </w:r>
      <w:r w:rsidR="000C0338">
        <w:t xml:space="preserve"> 1.4.7.6)</w:t>
      </w:r>
      <w:r w:rsidR="00516B88">
        <w:t>, since without the second influence, we have nothing with which to c</w:t>
      </w:r>
      <w:r w:rsidR="00DF09C8">
        <w:t>orrect</w:t>
      </w:r>
      <w:r w:rsidR="00516B88">
        <w:t xml:space="preserve"> our unphilosophical </w:t>
      </w:r>
      <w:r w:rsidR="0035205C">
        <w:t>probabilities.</w:t>
      </w:r>
      <w:r w:rsidR="00D14F6A">
        <w:t xml:space="preserve"> It is through</w:t>
      </w:r>
      <w:r w:rsidR="0035205C" w:rsidRPr="0035205C">
        <w:t xml:space="preserve"> his rules by which to judge of causes and effects that ‘we learn to distinguish the accidental circumstances from the efficacious causes’ (THN 1.3.13.11).</w:t>
      </w:r>
      <w:r w:rsidR="00574066">
        <w:rPr>
          <w:rStyle w:val="FootnoteReference"/>
        </w:rPr>
        <w:footnoteReference w:id="17"/>
      </w:r>
      <w:r w:rsidR="0035205C">
        <w:t xml:space="preserve"> More strongly:</w:t>
      </w:r>
    </w:p>
    <w:p w:rsidR="00516B88" w:rsidRDefault="00516B88" w:rsidP="00055519">
      <w:pPr>
        <w:pStyle w:val="HumeReference"/>
      </w:pPr>
      <w:r w:rsidRPr="00516B88">
        <w:t>The following of general rules is a very unphilosophical species of probability; and yet ’tis only by following them that we can correct this, and all other unphilosophical probabilities.</w:t>
      </w:r>
      <w:r>
        <w:t xml:space="preserve"> (THN 1.3.13.12)</w:t>
      </w:r>
    </w:p>
    <w:p w:rsidR="009C43FC" w:rsidRDefault="0035205C" w:rsidP="000C0338">
      <w:r w:rsidRPr="0035205C">
        <w:t xml:space="preserve">In short, if we reject the requirement that we reflect in accordance with the second influence, we are left with no means by which to </w:t>
      </w:r>
      <w:r w:rsidR="00EE3B4F">
        <w:t>check the</w:t>
      </w:r>
      <w:r w:rsidRPr="0035205C">
        <w:t xml:space="preserve"> credulous beliefs arising from the first influence.</w:t>
      </w:r>
      <w:r w:rsidR="00CD5E44">
        <w:rPr>
          <w:rStyle w:val="FootnoteReference"/>
        </w:rPr>
        <w:footnoteReference w:id="18"/>
      </w:r>
      <w:r>
        <w:t xml:space="preserve"> </w:t>
      </w:r>
    </w:p>
    <w:p w:rsidR="00CA4882" w:rsidRDefault="009C43FC" w:rsidP="00055519">
      <w:pPr>
        <w:ind w:firstLine="567"/>
      </w:pPr>
      <w:r>
        <w:t xml:space="preserve">Thus, a lack of reflection clearly leads to ‘errors, absurdities, and obscurities’ (THN 1.4.7.6). Indeed, Hume’s </w:t>
      </w:r>
      <w:r w:rsidR="00CA4882">
        <w:t xml:space="preserve">discussion of the </w:t>
      </w:r>
      <w:r w:rsidR="00EA478C">
        <w:t>credulity</w:t>
      </w:r>
      <w:r w:rsidR="00CA4882">
        <w:t xml:space="preserve"> horn has clear correlates with his discussion of the </w:t>
      </w:r>
      <w:r w:rsidR="00385866">
        <w:t>first influence</w:t>
      </w:r>
      <w:r w:rsidR="00CA4882">
        <w:t>. Examine:</w:t>
      </w:r>
    </w:p>
    <w:p w:rsidR="00CA4882" w:rsidRDefault="00CA4882" w:rsidP="00055519">
      <w:pPr>
        <w:pStyle w:val="HumeReference"/>
      </w:pPr>
      <w:r w:rsidRPr="00CA4882">
        <w:t>Nothing is more dangerous to reason than the flights of the imagination, and nothing has been the occasion of more mistakes among philosophers.</w:t>
      </w:r>
      <w:r>
        <w:t xml:space="preserve"> (THN 1.4.7.6)</w:t>
      </w:r>
    </w:p>
    <w:p w:rsidR="000C0338" w:rsidRDefault="00CA4882" w:rsidP="00CA4882">
      <w:r>
        <w:lastRenderedPageBreak/>
        <w:t>I</w:t>
      </w:r>
      <w:r w:rsidR="00704FA1">
        <w:t>n discussing the first influence, Hume remarks that</w:t>
      </w:r>
      <w:r w:rsidR="00516B88">
        <w:t xml:space="preserve"> </w:t>
      </w:r>
      <w:r w:rsidR="00704FA1">
        <w:t>‘</w:t>
      </w:r>
      <w:r w:rsidR="00704FA1" w:rsidRPr="00704FA1">
        <w:t>the imagination naturally carries us to a lively conception of the usual effect, tho’ the object be different in the most material and most efficaciou</w:t>
      </w:r>
      <w:r w:rsidR="00704FA1">
        <w:t>s circumstances f</w:t>
      </w:r>
      <w:r w:rsidR="003A146E">
        <w:t>rom that cause’ (THN 1.3.13.12). This</w:t>
      </w:r>
      <w:r w:rsidR="00704FA1">
        <w:t xml:space="preserve"> </w:t>
      </w:r>
      <w:r w:rsidR="003E72EF">
        <w:t>parallel</w:t>
      </w:r>
      <w:r w:rsidR="003A146E">
        <w:t>s</w:t>
      </w:r>
      <w:r w:rsidR="00704FA1">
        <w:t xml:space="preserve"> his talk of the</w:t>
      </w:r>
      <w:r w:rsidR="000C0338">
        <w:t xml:space="preserve"> ‘flights of the</w:t>
      </w:r>
      <w:r w:rsidR="00E17BF3">
        <w:t xml:space="preserve"> imagination’</w:t>
      </w:r>
      <w:r w:rsidR="000C0338">
        <w:t xml:space="preserve"> </w:t>
      </w:r>
      <w:r>
        <w:t>above</w:t>
      </w:r>
      <w:r w:rsidR="000C0338">
        <w:t>.</w:t>
      </w:r>
      <w:r w:rsidR="00E17BF3">
        <w:rPr>
          <w:rStyle w:val="FootnoteReference"/>
        </w:rPr>
        <w:footnoteReference w:id="19"/>
      </w:r>
      <w:r>
        <w:t xml:space="preserve"> Moreover, he takes these flights of the imagination to be ‘dangerous to reason’, which clearly corresponds to</w:t>
      </w:r>
      <w:r w:rsidRPr="00CA4882">
        <w:t xml:space="preserve"> </w:t>
      </w:r>
      <w:r>
        <w:t xml:space="preserve">his claim that the first influence </w:t>
      </w:r>
      <w:r w:rsidR="00385866">
        <w:t>is</w:t>
      </w:r>
      <w:r>
        <w:t xml:space="preserve"> ‘</w:t>
      </w:r>
      <w:r w:rsidRPr="00CA4882">
        <w:t>destructive of all the most establish’d principles of reasonings’ (THN 1.3.13.12)</w:t>
      </w:r>
      <w:r>
        <w:t>. In short, a lack of reflection (via the second influence) allows for</w:t>
      </w:r>
      <w:r w:rsidR="00704FA1">
        <w:t xml:space="preserve"> the ‘trivial </w:t>
      </w:r>
      <w:r w:rsidR="00DF082A">
        <w:t>suggestions</w:t>
      </w:r>
      <w:r w:rsidR="00704FA1">
        <w:t xml:space="preserve"> of the fancy’ (THN 1.4.7.7), which</w:t>
      </w:r>
      <w:r>
        <w:t>, being</w:t>
      </w:r>
      <w:r w:rsidR="00704FA1">
        <w:t xml:space="preserve"> ‘of an irregular nature’ (THN 1.3.13.12), inevitab</w:t>
      </w:r>
      <w:r>
        <w:t xml:space="preserve">ly lead to </w:t>
      </w:r>
      <w:r w:rsidR="004D24E6">
        <w:t>credulity</w:t>
      </w:r>
      <w:r>
        <w:t>.</w:t>
      </w:r>
      <w:r w:rsidR="00704FA1">
        <w:t xml:space="preserve"> </w:t>
      </w:r>
      <w:r>
        <w:t>T</w:t>
      </w:r>
      <w:r w:rsidR="00704FA1">
        <w:t xml:space="preserve">he </w:t>
      </w:r>
      <w:r w:rsidR="00EA478C">
        <w:t>credulity</w:t>
      </w:r>
      <w:r w:rsidR="00704FA1">
        <w:t xml:space="preserve"> horn </w:t>
      </w:r>
      <w:r w:rsidR="00EA478C">
        <w:t>is a</w:t>
      </w:r>
      <w:r w:rsidR="00EF422D">
        <w:t xml:space="preserve"> direct</w:t>
      </w:r>
      <w:r w:rsidR="00EA478C">
        <w:t xml:space="preserve"> result of</w:t>
      </w:r>
      <w:r>
        <w:t xml:space="preserve"> rejecting that we have a</w:t>
      </w:r>
      <w:r w:rsidR="00EF422D">
        <w:t>ny</w:t>
      </w:r>
      <w:r>
        <w:t xml:space="preserve"> duty to reflec</w:t>
      </w:r>
      <w:r w:rsidR="00EA478C">
        <w:t>t</w:t>
      </w:r>
      <w:r w:rsidR="00E750AB">
        <w:t xml:space="preserve"> whatsoever</w:t>
      </w:r>
      <w:r w:rsidR="003D7728">
        <w:t>. Without such a duty, human weakness is such that we will</w:t>
      </w:r>
      <w:r w:rsidR="00EE3B4F">
        <w:t xml:space="preserve"> </w:t>
      </w:r>
      <w:r w:rsidR="00272B9D">
        <w:t>succumb to systematic</w:t>
      </w:r>
      <w:r w:rsidR="00EE3B4F">
        <w:t xml:space="preserve"> doxastic error</w:t>
      </w:r>
      <w:r w:rsidR="003D7728">
        <w:t>.</w:t>
      </w:r>
    </w:p>
    <w:p w:rsidR="00704FA1" w:rsidRDefault="00DD416B" w:rsidP="00DD416B">
      <w:pPr>
        <w:ind w:firstLine="720"/>
      </w:pPr>
      <w:r w:rsidRPr="00DD416B">
        <w:t xml:space="preserve">Thus, we see that Hume’s </w:t>
      </w:r>
      <w:r w:rsidR="0070234D">
        <w:t>D</w:t>
      </w:r>
      <w:r w:rsidRPr="00DD416B">
        <w:t xml:space="preserve">angerous </w:t>
      </w:r>
      <w:r w:rsidR="0070234D">
        <w:t>D</w:t>
      </w:r>
      <w:r w:rsidRPr="00DD416B">
        <w:t>ilemma can be seen as a dilemma between two deontological extremes: should we embrace an absolute duty to always reflect, or should we reject that we have any duty to reflect whatsoever? The former leads to excessive scepticism, while the latter leads to credulity.</w:t>
      </w:r>
      <w:r w:rsidRPr="00DD416B">
        <w:rPr>
          <w:vertAlign w:val="superscript"/>
        </w:rPr>
        <w:footnoteReference w:id="20"/>
      </w:r>
      <w:r w:rsidRPr="00DD416B">
        <w:t xml:space="preserve"> </w:t>
      </w:r>
      <w:r w:rsidR="00704FA1">
        <w:t>Hume’s resolut</w:t>
      </w:r>
      <w:r w:rsidR="00E256CA">
        <w:t>ion to this dilemma will be to pave</w:t>
      </w:r>
      <w:r w:rsidR="00704FA1">
        <w:t xml:space="preserve"> a deontological middle way.</w:t>
      </w:r>
    </w:p>
    <w:p w:rsidR="000C0338" w:rsidRDefault="004D24E6" w:rsidP="00516B88">
      <w:pPr>
        <w:pStyle w:val="Heading2"/>
        <w:numPr>
          <w:ilvl w:val="0"/>
          <w:numId w:val="1"/>
        </w:numPr>
      </w:pPr>
      <w:r>
        <w:t>The Deontological Threshold</w:t>
      </w:r>
    </w:p>
    <w:p w:rsidR="00524C18" w:rsidRDefault="0099447E" w:rsidP="00516B88">
      <w:r>
        <w:t>So Hume is in quite a pickle</w:t>
      </w:r>
      <w:r w:rsidR="00D14F6A">
        <w:t xml:space="preserve"> </w:t>
      </w:r>
      <w:r w:rsidR="00D14F6A" w:rsidRPr="00D14F6A">
        <w:t>at this point</w:t>
      </w:r>
      <w:r>
        <w:t xml:space="preserve">. It is </w:t>
      </w:r>
      <w:r w:rsidR="009222CA">
        <w:t>instructive</w:t>
      </w:r>
      <w:r>
        <w:t xml:space="preserve"> to consider what </w:t>
      </w:r>
      <w:r w:rsidR="00043847">
        <w:t>doxastic</w:t>
      </w:r>
      <w:r w:rsidR="004D24E6">
        <w:t xml:space="preserve"> aims </w:t>
      </w:r>
      <w:r w:rsidR="00C35B30">
        <w:t>h</w:t>
      </w:r>
      <w:r>
        <w:t xml:space="preserve">e would like </w:t>
      </w:r>
      <w:r w:rsidR="004D24E6">
        <w:t xml:space="preserve">to achieve </w:t>
      </w:r>
      <w:r w:rsidR="00D14F6A">
        <w:t>come the end of THN 1.4.7</w:t>
      </w:r>
      <w:r>
        <w:t xml:space="preserve">. He would certainly want to reject </w:t>
      </w:r>
      <w:r w:rsidR="002C1335">
        <w:t>the</w:t>
      </w:r>
      <w:r w:rsidR="00CF23CE">
        <w:t xml:space="preserve"> two</w:t>
      </w:r>
      <w:r w:rsidR="00CD5E44">
        <w:t xml:space="preserve"> horns of the </w:t>
      </w:r>
      <w:r w:rsidR="0070234D">
        <w:t>D</w:t>
      </w:r>
      <w:r w:rsidR="00CD5E44">
        <w:t xml:space="preserve">angerous </w:t>
      </w:r>
      <w:r w:rsidR="0070234D">
        <w:t>D</w:t>
      </w:r>
      <w:r w:rsidR="00CD5E44">
        <w:t>ilemma</w:t>
      </w:r>
      <w:r w:rsidR="00DC7775">
        <w:t>—</w:t>
      </w:r>
      <w:r w:rsidR="002C1335">
        <w:t>that is, excessive scepticism and credulity</w:t>
      </w:r>
      <w:r w:rsidR="00CF23CE">
        <w:t xml:space="preserve">. </w:t>
      </w:r>
      <w:r w:rsidR="002C1335">
        <w:t xml:space="preserve">Additionally, </w:t>
      </w:r>
      <w:r w:rsidR="002C1335">
        <w:lastRenderedPageBreak/>
        <w:t xml:space="preserve">he would </w:t>
      </w:r>
      <w:r w:rsidR="00CF23CE">
        <w:t xml:space="preserve">want to endorse our common-life beliefs, </w:t>
      </w:r>
      <w:r w:rsidR="005D7C72">
        <w:t>and also</w:t>
      </w:r>
      <w:r w:rsidR="00CF23CE">
        <w:t xml:space="preserve"> science and philosophy.</w:t>
      </w:r>
      <w:r w:rsidR="00EC25ED" w:rsidRPr="00EC25ED">
        <w:rPr>
          <w:vertAlign w:val="superscript"/>
        </w:rPr>
        <w:footnoteReference w:id="21"/>
      </w:r>
      <w:r w:rsidR="00CF23CE">
        <w:t xml:space="preserve"> And he would ideally like to reject superstition</w:t>
      </w:r>
      <w:r w:rsidR="002C1335">
        <w:t xml:space="preserve"> as well</w:t>
      </w:r>
      <w:r w:rsidR="00CF23CE">
        <w:t xml:space="preserve">. </w:t>
      </w:r>
      <w:r w:rsidR="0049528F">
        <w:t xml:space="preserve">I see Hume’s strategy </w:t>
      </w:r>
      <w:r w:rsidR="00EC25ED">
        <w:t>for achieving these aims</w:t>
      </w:r>
      <w:r w:rsidR="0049528F">
        <w:t xml:space="preserve"> </w:t>
      </w:r>
      <w:r w:rsidR="00C47CD6">
        <w:t>as taking</w:t>
      </w:r>
      <w:r w:rsidR="00082612">
        <w:t xml:space="preserve"> a distinctly deontological </w:t>
      </w:r>
      <w:r w:rsidR="0049528F">
        <w:t>structure. More specifically, I see it as</w:t>
      </w:r>
      <w:r w:rsidR="0089131E">
        <w:t xml:space="preserve"> involving</w:t>
      </w:r>
      <w:r w:rsidR="00222659">
        <w:t xml:space="preserve"> the recognition of</w:t>
      </w:r>
      <w:r w:rsidR="0089131E">
        <w:t xml:space="preserve"> duties of reflection</w:t>
      </w:r>
      <w:r w:rsidR="00021D70">
        <w:t xml:space="preserve"> up to a point </w:t>
      </w:r>
      <w:r w:rsidR="00222659">
        <w:t>(</w:t>
      </w:r>
      <w:r w:rsidR="00021D70">
        <w:t>in order to reject credulity and preserve the beliefs of common life</w:t>
      </w:r>
      <w:r w:rsidR="00222659">
        <w:t>)</w:t>
      </w:r>
      <w:r w:rsidR="00021D70">
        <w:t xml:space="preserve">, and an account of the supererogatory beyond it </w:t>
      </w:r>
      <w:r w:rsidR="00222659">
        <w:t>(</w:t>
      </w:r>
      <w:r w:rsidR="00021D70">
        <w:t>in order to endorse science and philosophy in favour of superstition and excessive scepticism</w:t>
      </w:r>
      <w:r w:rsidR="00222659">
        <w:t>)</w:t>
      </w:r>
      <w:r w:rsidR="00021D70">
        <w:t>.</w:t>
      </w:r>
    </w:p>
    <w:p w:rsidR="00E60B2A" w:rsidRPr="00E60B2A" w:rsidRDefault="0070234D" w:rsidP="00E60B2A">
      <w:pPr>
        <w:ind w:firstLine="567"/>
        <w:rPr>
          <w:lang w:val="en-US"/>
        </w:rPr>
      </w:pPr>
      <w:r>
        <w:rPr>
          <w:lang w:val="en-US"/>
        </w:rPr>
        <w:t>Immediately upon posing the Dangerous D</w:t>
      </w:r>
      <w:r w:rsidR="00E60B2A" w:rsidRPr="00E60B2A">
        <w:rPr>
          <w:lang w:val="en-US"/>
        </w:rPr>
        <w:t xml:space="preserve">ilemma, Hume </w:t>
      </w:r>
      <w:r w:rsidR="00C4616F">
        <w:rPr>
          <w:lang w:val="en-US"/>
        </w:rPr>
        <w:t xml:space="preserve">initially </w:t>
      </w:r>
      <w:r w:rsidR="00E60B2A" w:rsidRPr="00E60B2A">
        <w:rPr>
          <w:lang w:val="en-US"/>
        </w:rPr>
        <w:t xml:space="preserve">seems to </w:t>
      </w:r>
      <w:r w:rsidR="00C4616F">
        <w:rPr>
          <w:lang w:val="en-US"/>
        </w:rPr>
        <w:t>back down from the challenge of overcoming it</w:t>
      </w:r>
      <w:r w:rsidR="00E60B2A" w:rsidRPr="00E60B2A">
        <w:rPr>
          <w:lang w:val="en-US"/>
        </w:rPr>
        <w:t>:</w:t>
      </w:r>
    </w:p>
    <w:p w:rsidR="00E60B2A" w:rsidRPr="00E60B2A" w:rsidRDefault="00E60B2A" w:rsidP="00E60B2A">
      <w:pPr>
        <w:pStyle w:val="HumeReference"/>
        <w:rPr>
          <w:lang w:val="en-US"/>
        </w:rPr>
      </w:pPr>
      <w:r w:rsidRPr="00E60B2A">
        <w:rPr>
          <w:lang w:val="en-US"/>
        </w:rPr>
        <w:t>For my part, I know not what ought to be done in the present case. I can only observe what is commonly done; which is, that this difficulty is seldom or never thought of; and even where it has once been present to the mind, is quickly forgot, and leaves but a small impression behind it. Very refin’d reflections have little or no influence upon us; and yet we do not, and cannot establish it for a rule, that they ought not to have any influence; which implies a manifest contradiction. (THN 1.4.7.7)</w:t>
      </w:r>
    </w:p>
    <w:p w:rsidR="00C4616F" w:rsidRDefault="00E60B2A" w:rsidP="00E60B2A">
      <w:pPr>
        <w:rPr>
          <w:lang w:val="en-US"/>
        </w:rPr>
      </w:pPr>
      <w:r w:rsidRPr="00E60B2A">
        <w:rPr>
          <w:lang w:val="en-US"/>
        </w:rPr>
        <w:t xml:space="preserve">However, Hume quickly realises that </w:t>
      </w:r>
      <w:r w:rsidR="009565BE">
        <w:rPr>
          <w:lang w:val="en-US"/>
        </w:rPr>
        <w:t>refusing</w:t>
      </w:r>
      <w:r w:rsidRPr="00E60B2A">
        <w:rPr>
          <w:lang w:val="en-US"/>
        </w:rPr>
        <w:t xml:space="preserve"> to engage</w:t>
      </w:r>
      <w:r w:rsidR="0070234D">
        <w:rPr>
          <w:lang w:val="en-US"/>
        </w:rPr>
        <w:t xml:space="preserve"> with the Dangerous D</w:t>
      </w:r>
      <w:r w:rsidR="009565BE">
        <w:rPr>
          <w:lang w:val="en-US"/>
        </w:rPr>
        <w:t>ilemma is untenable</w:t>
      </w:r>
      <w:r w:rsidRPr="00E60B2A">
        <w:rPr>
          <w:lang w:val="en-US"/>
        </w:rPr>
        <w:t>; in THN 1.4.7.8 he states that the position endorsed above that ‘reflections very refin’d and metaphysical have little or no influence upon us’ is an ‘opinion I can scarce forbear retracting, and condemning from my present feeling and experience’.</w:t>
      </w:r>
      <w:r>
        <w:rPr>
          <w:lang w:val="en-US"/>
        </w:rPr>
        <w:t xml:space="preserve"> In short, retreat is not a viable option</w:t>
      </w:r>
      <w:r w:rsidR="002C1335">
        <w:rPr>
          <w:lang w:val="en-US"/>
        </w:rPr>
        <w:t>.</w:t>
      </w:r>
      <w:r w:rsidR="00AD0346">
        <w:rPr>
          <w:rStyle w:val="FootnoteReference"/>
          <w:lang w:val="en-US"/>
        </w:rPr>
        <w:footnoteReference w:id="22"/>
      </w:r>
    </w:p>
    <w:p w:rsidR="00E60B2A" w:rsidRDefault="0070234D" w:rsidP="00C4616F">
      <w:pPr>
        <w:ind w:firstLine="567"/>
      </w:pPr>
      <w:r>
        <w:lastRenderedPageBreak/>
        <w:t>The obvious solution to the Dangerous D</w:t>
      </w:r>
      <w:r w:rsidR="00E60B2A" w:rsidRPr="00E60B2A">
        <w:t>ilemma is of course to understand that it embodies a false dichotomy: we can recognise a duty to reflect only up to a point, he</w:t>
      </w:r>
      <w:r>
        <w:t>nce avoiding both horns of the Dangerous D</w:t>
      </w:r>
      <w:r w:rsidR="00E60B2A" w:rsidRPr="00E60B2A">
        <w:t xml:space="preserve">ilemma. This ‘Goldilocks’ </w:t>
      </w:r>
      <w:r w:rsidR="00EC25ED">
        <w:t>path mandates</w:t>
      </w:r>
      <w:r w:rsidR="00E60B2A" w:rsidRPr="00E60B2A">
        <w:t xml:space="preserve"> sufficient reflection such that we avoid credulity, but not so much that we will fall into excessive </w:t>
      </w:r>
      <w:r w:rsidR="00EC25ED">
        <w:t>scepticism</w:t>
      </w:r>
      <w:r w:rsidR="00E256CA">
        <w:t>.</w:t>
      </w:r>
    </w:p>
    <w:p w:rsidR="003612FE" w:rsidRDefault="003612FE" w:rsidP="00055519">
      <w:pPr>
        <w:ind w:firstLine="567"/>
      </w:pPr>
      <w:r>
        <w:t>He initially provides a doomed attempt in this direction</w:t>
      </w:r>
      <w:r w:rsidR="00E750AB">
        <w:t xml:space="preserve"> </w:t>
      </w:r>
      <w:r w:rsidR="00CD5E44">
        <w:t>immediately upon raising the</w:t>
      </w:r>
      <w:r w:rsidR="0070234D">
        <w:t xml:space="preserve"> Dangerous D</w:t>
      </w:r>
      <w:r w:rsidR="00E750AB">
        <w:t>ilemma</w:t>
      </w:r>
      <w:r>
        <w:t>:</w:t>
      </w:r>
    </w:p>
    <w:p w:rsidR="003612FE" w:rsidRDefault="003612FE" w:rsidP="00055519">
      <w:pPr>
        <w:pStyle w:val="HumeReference"/>
      </w:pPr>
      <w:r w:rsidRPr="003612FE">
        <w:t>Shall we, then, establish it for a general maxim, that no refin’d or elaborate reasoning is ever to be receiv’d</w:t>
      </w:r>
      <w:r w:rsidR="00E256CA">
        <w:t>?</w:t>
      </w:r>
      <w:r>
        <w:t xml:space="preserve"> (THN 1.4.7.7)</w:t>
      </w:r>
    </w:p>
    <w:p w:rsidR="00E750AB" w:rsidRDefault="00E750AB" w:rsidP="00E750AB">
      <w:r>
        <w:t>Here Hume suggests forbidding r</w:t>
      </w:r>
      <w:r w:rsidR="003A146E">
        <w:t>efined and elaborate reflection</w:t>
      </w:r>
      <w:r>
        <w:t xml:space="preserve"> </w:t>
      </w:r>
      <w:r w:rsidR="003A146E">
        <w:t>(</w:t>
      </w:r>
      <w:r w:rsidRPr="00E750AB">
        <w:t xml:space="preserve">presumably also accepting a corresponding duty to reflect up to a certain point, </w:t>
      </w:r>
      <w:r w:rsidR="0035205C">
        <w:t xml:space="preserve">in order </w:t>
      </w:r>
      <w:r w:rsidRPr="00E750AB">
        <w:t>to avoid</w:t>
      </w:r>
      <w:r>
        <w:t xml:space="preserve"> </w:t>
      </w:r>
      <w:r w:rsidR="0035205C">
        <w:t xml:space="preserve">reducing </w:t>
      </w:r>
      <w:r w:rsidR="00C4616F">
        <w:t xml:space="preserve">this new option </w:t>
      </w:r>
      <w:r w:rsidR="0035205C">
        <w:t xml:space="preserve">to </w:t>
      </w:r>
      <w:r>
        <w:t>the</w:t>
      </w:r>
      <w:r w:rsidRPr="00E750AB">
        <w:t xml:space="preserve"> credulity</w:t>
      </w:r>
      <w:r>
        <w:t xml:space="preserve"> horn</w:t>
      </w:r>
      <w:r w:rsidR="003A146E">
        <w:t>)</w:t>
      </w:r>
      <w:r>
        <w:t>.</w:t>
      </w:r>
      <w:r w:rsidR="003A146E" w:rsidRPr="003A146E">
        <w:rPr>
          <w:vertAlign w:val="superscript"/>
        </w:rPr>
        <w:footnoteReference w:id="23"/>
      </w:r>
      <w:r>
        <w:t xml:space="preserve"> This would indeed constitute a deontological middle way between the two horns: it requires some reflection and so avoids the credulity horn, and yet disallows the extreme level of reflection that engenders the sceptical horn.</w:t>
      </w:r>
    </w:p>
    <w:p w:rsidR="003612FE" w:rsidRDefault="00E750AB" w:rsidP="00E750AB">
      <w:pPr>
        <w:ind w:firstLine="567"/>
      </w:pPr>
      <w:r>
        <w:t>Unfortunately</w:t>
      </w:r>
      <w:r w:rsidR="003612FE">
        <w:t xml:space="preserve">, this </w:t>
      </w:r>
      <w:r w:rsidR="00EA3DE3">
        <w:t xml:space="preserve">principle </w:t>
      </w:r>
      <w:r w:rsidR="003612FE">
        <w:t xml:space="preserve">turns out to be a non-starter. </w:t>
      </w:r>
      <w:r w:rsidR="00EE4408">
        <w:t>First</w:t>
      </w:r>
      <w:r w:rsidR="003612FE">
        <w:t xml:space="preserve">, it </w:t>
      </w:r>
      <w:r w:rsidR="00E256CA">
        <w:t>cuts off ‘entirely all science and philosophy’ (THN 1.4.7.7)</w:t>
      </w:r>
      <w:r w:rsidR="003612FE">
        <w:t xml:space="preserve">. </w:t>
      </w:r>
      <w:r w:rsidR="00EE4408">
        <w:t>Second, i</w:t>
      </w:r>
      <w:r w:rsidR="003612FE">
        <w:t xml:space="preserve">t fails to provide a principled reason as to why </w:t>
      </w:r>
      <w:r w:rsidR="00EE4408">
        <w:t>we should accept only certain qualities of the imagination</w:t>
      </w:r>
      <w:r w:rsidR="00E256CA">
        <w:t>, since ‘by parity of reason’ we ‘must embrace all of them’ (</w:t>
      </w:r>
      <w:r w:rsidR="00E256CA">
        <w:rPr>
          <w:i/>
        </w:rPr>
        <w:t>ibid</w:t>
      </w:r>
      <w:r w:rsidR="00E256CA">
        <w:t>.)</w:t>
      </w:r>
      <w:r w:rsidR="003D6462">
        <w:t xml:space="preserve">. Contrast this with </w:t>
      </w:r>
      <w:r w:rsidR="0045304D">
        <w:t>the normative</w:t>
      </w:r>
      <w:r w:rsidR="003D6462">
        <w:t xml:space="preserve"> distinction</w:t>
      </w:r>
      <w:r w:rsidR="0049528F">
        <w:t xml:space="preserve"> that </w:t>
      </w:r>
      <w:r w:rsidR="0045304D">
        <w:t>Hume draws</w:t>
      </w:r>
      <w:r w:rsidR="003D6462">
        <w:t xml:space="preserve"> between the </w:t>
      </w:r>
      <w:r w:rsidR="003D6462" w:rsidRPr="003D6462">
        <w:t>‘permanent, irresistible, and universal’ principles of the imagination</w:t>
      </w:r>
      <w:r w:rsidR="003D6462">
        <w:t xml:space="preserve"> and</w:t>
      </w:r>
      <w:r w:rsidR="003D6462" w:rsidRPr="003D6462">
        <w:t xml:space="preserve"> the blameable ‘changeable, weak and irregular ones’ (THN 1.4.4.1).</w:t>
      </w:r>
      <w:r w:rsidR="003D6462">
        <w:t xml:space="preserve"> Such a distinction is principled, because the latter, unlike the former, are ‘</w:t>
      </w:r>
      <w:r w:rsidR="003D6462" w:rsidRPr="003D6462">
        <w:t>opposite to the other principles of custom and reasoning</w:t>
      </w:r>
      <w:r w:rsidR="003D6462">
        <w:t>’ (</w:t>
      </w:r>
      <w:r w:rsidR="003D6462">
        <w:rPr>
          <w:i/>
        </w:rPr>
        <w:t>ibid</w:t>
      </w:r>
      <w:r w:rsidR="003D6462">
        <w:t>.)</w:t>
      </w:r>
      <w:r w:rsidR="00EF422D">
        <w:t>; there is a clear and natural divide between the principles aligned with custom and reason on the one hand, and the principles that are not on the other</w:t>
      </w:r>
      <w:r w:rsidR="003D6462">
        <w:t>. However, with regard to Hume’s proposed principle above,</w:t>
      </w:r>
      <w:r w:rsidR="00EE4408">
        <w:t xml:space="preserve"> we cannot appe</w:t>
      </w:r>
      <w:r w:rsidR="003D6462">
        <w:t xml:space="preserve">al to </w:t>
      </w:r>
      <w:r w:rsidR="00EF422D">
        <w:t xml:space="preserve">any </w:t>
      </w:r>
      <w:r w:rsidR="003D6462">
        <w:t xml:space="preserve">such considerations </w:t>
      </w:r>
      <w:r w:rsidR="00F17A7C">
        <w:t xml:space="preserve">in order </w:t>
      </w:r>
      <w:r w:rsidR="003D6462">
        <w:t xml:space="preserve">to justify the </w:t>
      </w:r>
      <w:r w:rsidR="00C20161">
        <w:t xml:space="preserve">normative </w:t>
      </w:r>
      <w:r w:rsidR="003D6462">
        <w:t xml:space="preserve">distinction between the trivial propensities of </w:t>
      </w:r>
      <w:r w:rsidR="003D6462">
        <w:lastRenderedPageBreak/>
        <w:t>the imagination that stave off excessive reflection (and hence scepticism) and the ones that lead to credulity, since science and philosophy are forbidden and yet are very much consonant with the principles of custom and reasoning</w:t>
      </w:r>
      <w:r w:rsidR="003612FE">
        <w:t xml:space="preserve">. </w:t>
      </w:r>
      <w:r w:rsidR="00EE4408">
        <w:t>Third</w:t>
      </w:r>
      <w:r w:rsidR="003612FE">
        <w:t xml:space="preserve">, </w:t>
      </w:r>
      <w:r w:rsidR="003D6462">
        <w:t>the principle</w:t>
      </w:r>
      <w:r w:rsidR="003612FE">
        <w:t xml:space="preserve"> contains an element of hypocrisy </w:t>
      </w:r>
      <w:r w:rsidR="003D6462">
        <w:t>in forbidding</w:t>
      </w:r>
      <w:r w:rsidR="003612FE">
        <w:t xml:space="preserve"> refined reasoning and reflection</w:t>
      </w:r>
      <w:r w:rsidR="00EE4408">
        <w:t xml:space="preserve"> despite being</w:t>
      </w:r>
      <w:r w:rsidR="003612FE">
        <w:t xml:space="preserve"> founded on such </w:t>
      </w:r>
      <w:r w:rsidR="00E256CA">
        <w:t xml:space="preserve">‘refin’d and metaphysical’ </w:t>
      </w:r>
      <w:r w:rsidR="003612FE">
        <w:t>reflection</w:t>
      </w:r>
      <w:r w:rsidR="00D14F6A">
        <w:t xml:space="preserve"> (THN 1.4.7.7)</w:t>
      </w:r>
      <w:r w:rsidR="003612FE">
        <w:t>.</w:t>
      </w:r>
    </w:p>
    <w:p w:rsidR="00CF23CE" w:rsidRDefault="003612FE" w:rsidP="00055519">
      <w:pPr>
        <w:ind w:firstLine="567"/>
      </w:pPr>
      <w:r>
        <w:t xml:space="preserve">Hume ultimately realises that </w:t>
      </w:r>
      <w:r w:rsidR="00E750AB">
        <w:t>there is another</w:t>
      </w:r>
      <w:r>
        <w:t xml:space="preserve"> middle way that avoids the above problems</w:t>
      </w:r>
      <w:r w:rsidR="00E750AB">
        <w:t>,</w:t>
      </w:r>
      <w:r>
        <w:t xml:space="preserve"> </w:t>
      </w:r>
      <w:r w:rsidR="005525DF">
        <w:t xml:space="preserve">one </w:t>
      </w:r>
      <w:r w:rsidR="00E750AB">
        <w:t>which turns on</w:t>
      </w:r>
      <w:r w:rsidR="00F17A7C">
        <w:t xml:space="preserve"> recognising</w:t>
      </w:r>
      <w:r>
        <w:t xml:space="preserve"> the </w:t>
      </w:r>
      <w:r w:rsidR="00E72AF5">
        <w:t xml:space="preserve">epistemically </w:t>
      </w:r>
      <w:r>
        <w:t>supererogatory.</w:t>
      </w:r>
      <w:r w:rsidR="00E72AF5">
        <w:rPr>
          <w:rStyle w:val="FootnoteReference"/>
        </w:rPr>
        <w:footnoteReference w:id="24"/>
      </w:r>
      <w:r>
        <w:t xml:space="preserve"> </w:t>
      </w:r>
      <w:r w:rsidR="009252F6">
        <w:t>W</w:t>
      </w:r>
      <w:r w:rsidR="002B3337">
        <w:t>e have a duty to reflect</w:t>
      </w:r>
      <w:r w:rsidR="009252F6" w:rsidRPr="009252F6">
        <w:t xml:space="preserve"> </w:t>
      </w:r>
      <w:r w:rsidR="009252F6">
        <w:t>only u</w:t>
      </w:r>
      <w:r w:rsidR="009252F6" w:rsidRPr="009252F6">
        <w:t>p to a certain point</w:t>
      </w:r>
      <w:r w:rsidR="009252F6">
        <w:t xml:space="preserve">; </w:t>
      </w:r>
      <w:r w:rsidR="003C1205">
        <w:t>f</w:t>
      </w:r>
      <w:r w:rsidR="005525DF">
        <w:t>urther</w:t>
      </w:r>
      <w:r w:rsidR="002B3337">
        <w:t xml:space="preserve"> reflection </w:t>
      </w:r>
      <w:r w:rsidR="005525DF">
        <w:t>beyond this</w:t>
      </w:r>
      <w:r w:rsidR="003C1205">
        <w:t xml:space="preserve"> deontological</w:t>
      </w:r>
      <w:r w:rsidR="005525DF">
        <w:t xml:space="preserve"> threshold</w:t>
      </w:r>
      <w:r w:rsidR="002B3337">
        <w:t xml:space="preserve"> is not required of us as a duty, but </w:t>
      </w:r>
      <w:r w:rsidR="005525DF">
        <w:t xml:space="preserve">might </w:t>
      </w:r>
      <w:r w:rsidR="002B3337">
        <w:t xml:space="preserve">nevertheless </w:t>
      </w:r>
      <w:r w:rsidR="005525DF">
        <w:t xml:space="preserve">be </w:t>
      </w:r>
      <w:r w:rsidR="002B3337">
        <w:t>epistemically good to do.</w:t>
      </w:r>
      <w:r w:rsidR="002E5F77">
        <w:rPr>
          <w:rStyle w:val="FootnoteReference"/>
        </w:rPr>
        <w:footnoteReference w:id="25"/>
      </w:r>
      <w:r>
        <w:t xml:space="preserve"> </w:t>
      </w:r>
      <w:r w:rsidR="004B5868" w:rsidRPr="004B5868">
        <w:t xml:space="preserve">Such reflection should not be required (which avoids necessitating the sceptical horn); nevertheless, it should not be </w:t>
      </w:r>
      <w:r w:rsidR="004B5868" w:rsidRPr="004B5868">
        <w:rPr>
          <w:i/>
        </w:rPr>
        <w:t>forbidden</w:t>
      </w:r>
      <w:r w:rsidR="004B5868" w:rsidRPr="004B5868">
        <w:t xml:space="preserve"> (which is where Hume’s initial attempt above went wrong)</w:t>
      </w:r>
      <w:r>
        <w:t>.</w:t>
      </w:r>
      <w:r w:rsidR="009D175D">
        <w:rPr>
          <w:rStyle w:val="FootnoteReference"/>
        </w:rPr>
        <w:footnoteReference w:id="26"/>
      </w:r>
      <w:r>
        <w:t xml:space="preserve"> This avoids the problems that plagued Hume’s first attempt</w:t>
      </w:r>
      <w:r w:rsidR="00EA3DE3">
        <w:t xml:space="preserve"> at a deontological middle way</w:t>
      </w:r>
      <w:r>
        <w:t>. First, it allows for science and philosophy</w:t>
      </w:r>
      <w:r w:rsidR="00EE4408">
        <w:t xml:space="preserve">. Secondly, </w:t>
      </w:r>
      <w:r w:rsidR="00C20161">
        <w:t xml:space="preserve">since </w:t>
      </w:r>
      <w:r w:rsidR="00EA3DE3">
        <w:t xml:space="preserve">science and philosophy are not forbidden, </w:t>
      </w:r>
      <w:r w:rsidR="00A542B1">
        <w:t>we can maintain a principled</w:t>
      </w:r>
      <w:r w:rsidR="00EA3DE3">
        <w:t xml:space="preserve"> epistemic distinction.</w:t>
      </w:r>
      <w:r w:rsidR="00EF422D">
        <w:t xml:space="preserve"> Within the deontological threshold, there is a clear and natural distinction</w:t>
      </w:r>
      <w:r w:rsidR="00F17A7C">
        <w:t xml:space="preserve"> to be made</w:t>
      </w:r>
      <w:r w:rsidR="00EF422D">
        <w:t xml:space="preserve"> – accept the principles that are aligned with custom and reason, and reject those that are not.</w:t>
      </w:r>
      <w:r w:rsidR="00A542B1" w:rsidRPr="00A542B1">
        <w:rPr>
          <w:vertAlign w:val="superscript"/>
        </w:rPr>
        <w:footnoteReference w:id="27"/>
      </w:r>
      <w:r w:rsidR="00EA3DE3">
        <w:t xml:space="preserve"> </w:t>
      </w:r>
      <w:r w:rsidR="00EE4408">
        <w:t>Thirdly, there is no hypocrisy involved, since the refined reasoning that founds this principle is not forbidden.</w:t>
      </w:r>
    </w:p>
    <w:p w:rsidR="004B5868" w:rsidRPr="004B5868" w:rsidRDefault="004B5868" w:rsidP="004B5868">
      <w:pPr>
        <w:ind w:firstLine="567"/>
      </w:pPr>
      <w:r w:rsidRPr="004B5868">
        <w:t xml:space="preserve">Support for Hume’s recognition that a certain rarefied level of reflection is supererogatory largely derives from his repeated acknowledgments that philosophy is </w:t>
      </w:r>
      <w:r w:rsidRPr="004B5868">
        <w:lastRenderedPageBreak/>
        <w:t xml:space="preserve">optional, coupled with his recognition of the value of such reflective pursuits; jointly, these reveal his understanding of such a level of reflection as supererogatory. </w:t>
      </w:r>
    </w:p>
    <w:p w:rsidR="00B32307" w:rsidRDefault="004B5868" w:rsidP="00B32307">
      <w:pPr>
        <w:ind w:firstLine="567"/>
      </w:pPr>
      <w:r w:rsidRPr="004B5868">
        <w:t xml:space="preserve">Hume’s resolution to scepticism in THN 1.4.7 comes with a sustained emphasis on the optional nature of philosophy. </w:t>
      </w:r>
      <w:r w:rsidR="00B32307" w:rsidRPr="00B32307">
        <w:t xml:space="preserve">This point is also made in Ainslie (2015, p.239): ‘philosophy is entirely optional, dependent on the propensities of the individual and her or his inclinations at the time. Because we are fundamentally carried along by reason and the senses, no one </w:t>
      </w:r>
      <w:r w:rsidR="00B32307" w:rsidRPr="00B32307">
        <w:rPr>
          <w:i/>
        </w:rPr>
        <w:t>must</w:t>
      </w:r>
      <w:r w:rsidR="00B32307" w:rsidRPr="00B32307">
        <w:t xml:space="preserve"> take up the reflective posture whereby we observe their operations’. Schafer (2014, p.12) likewise sees philosophy as merely elective.</w:t>
      </w:r>
      <w:r w:rsidR="00B32307" w:rsidRPr="00B32307">
        <w:rPr>
          <w:vertAlign w:val="superscript"/>
        </w:rPr>
        <w:footnoteReference w:id="28"/>
      </w:r>
    </w:p>
    <w:p w:rsidR="004B5868" w:rsidRPr="004B5868" w:rsidRDefault="004B5868" w:rsidP="004B5868">
      <w:pPr>
        <w:ind w:firstLine="567"/>
      </w:pPr>
      <w:r w:rsidRPr="004B5868">
        <w:t>Upon beginning to shake off his sceptical funk, Hume says: ‘Nay if we are philosophers, it ought only to be upon sceptical principles, and from an inclination, which we feel to the employing ourselves after that manner’ (THN 1.4.7.11). Certainly, philosophy is by no means mandated of us. If we have an inclination to it, then we should feel free to proceed to engage with it (upon sceptical principles). Philosophy may be a fine pursuit, but it is not a required one.</w:t>
      </w:r>
    </w:p>
    <w:p w:rsidR="002B3337" w:rsidRDefault="003916BE" w:rsidP="003916BE">
      <w:pPr>
        <w:ind w:firstLine="567"/>
      </w:pPr>
      <w:r w:rsidRPr="003916BE">
        <w:t>Correspondingly, Hume’s discussion of the ‘honest gentlemen’ of England is also pertinent:</w:t>
      </w:r>
    </w:p>
    <w:p w:rsidR="002B3337" w:rsidRDefault="009222CA" w:rsidP="00055519">
      <w:pPr>
        <w:pStyle w:val="HumeReference"/>
      </w:pPr>
      <w:r>
        <w:t>…</w:t>
      </w:r>
      <w:r w:rsidR="002B3337" w:rsidRPr="002B3337">
        <w:t xml:space="preserve"> there are in England, in particular, many honest gentlemen, who being always employ’d in their domestic affairs, or amusing themselves in common recreations, have carried their thoughts very little beyond those objects, which are every day expos’d to their senses. And indeed, of such as these I pretend not to make philosophers, nor do I expect them either to be associates in these </w:t>
      </w:r>
      <w:r w:rsidR="002B3337" w:rsidRPr="002B3337">
        <w:lastRenderedPageBreak/>
        <w:t>researches or auditors of these discoveries. They do well to keep themselves in their present situation</w:t>
      </w:r>
      <w:r w:rsidR="00E256CA">
        <w:t>..</w:t>
      </w:r>
      <w:r w:rsidR="002B3337" w:rsidRPr="002B3337">
        <w:t>.</w:t>
      </w:r>
      <w:r w:rsidR="002B3337">
        <w:t xml:space="preserve"> (THN 1.4.7.14)</w:t>
      </w:r>
    </w:p>
    <w:p w:rsidR="002B3337" w:rsidRPr="005F4F45" w:rsidRDefault="00453EEE" w:rsidP="002B3337">
      <w:pPr>
        <w:rPr>
          <w:vertAlign w:val="superscript"/>
        </w:rPr>
      </w:pPr>
      <w:r>
        <w:t>Although t</w:t>
      </w:r>
      <w:r w:rsidR="002B3337">
        <w:t xml:space="preserve">his passage </w:t>
      </w:r>
      <w:r w:rsidR="00EA478C">
        <w:t>might be</w:t>
      </w:r>
      <w:r w:rsidR="002B3337">
        <w:t xml:space="preserve"> seen as somewhat sardonic, </w:t>
      </w:r>
      <w:r w:rsidR="009252F6">
        <w:t xml:space="preserve">it nevertheless seems clear that </w:t>
      </w:r>
      <w:r>
        <w:t>irrespective of any jibes</w:t>
      </w:r>
      <w:r w:rsidR="00043847">
        <w:t xml:space="preserve"> at the expense of the English</w:t>
      </w:r>
      <w:r>
        <w:t xml:space="preserve">, </w:t>
      </w:r>
      <w:r w:rsidR="009252F6">
        <w:t xml:space="preserve">Hume </w:t>
      </w:r>
      <w:r w:rsidR="004A48CB">
        <w:t xml:space="preserve">here </w:t>
      </w:r>
      <w:r w:rsidR="009252F6">
        <w:t xml:space="preserve">recognises </w:t>
      </w:r>
      <w:r w:rsidR="000B7B42">
        <w:t>that we</w:t>
      </w:r>
      <w:r w:rsidR="002B3337">
        <w:t xml:space="preserve"> have a</w:t>
      </w:r>
      <w:r w:rsidR="004B4ABB">
        <w:t xml:space="preserve"> duty to reflect</w:t>
      </w:r>
      <w:r w:rsidR="000B7B42">
        <w:t xml:space="preserve"> only</w:t>
      </w:r>
      <w:r w:rsidR="004B4ABB">
        <w:t xml:space="preserve"> up to a point.</w:t>
      </w:r>
      <w:r w:rsidR="004B4ABB" w:rsidRPr="004B4ABB">
        <w:rPr>
          <w:vertAlign w:val="superscript"/>
        </w:rPr>
        <w:footnoteReference w:id="29"/>
      </w:r>
      <w:r w:rsidR="00C4616F">
        <w:t xml:space="preserve"> </w:t>
      </w:r>
      <w:r w:rsidR="002B3337">
        <w:t xml:space="preserve">The honest gentlemen of England are evidently not a particularly reflective </w:t>
      </w:r>
      <w:r w:rsidR="009222CA">
        <w:t>lot, having</w:t>
      </w:r>
      <w:r w:rsidR="002B3337">
        <w:t xml:space="preserve"> ‘carried their thoughts very little’ beyond </w:t>
      </w:r>
      <w:r w:rsidR="00F30EA3">
        <w:t>‘their domestic affairs’</w:t>
      </w:r>
      <w:r w:rsidR="002B3337">
        <w:t xml:space="preserve">. Hume does </w:t>
      </w:r>
      <w:r w:rsidR="004D24E6">
        <w:t xml:space="preserve">not demand </w:t>
      </w:r>
      <w:r w:rsidR="003C1205">
        <w:t>that they</w:t>
      </w:r>
      <w:r w:rsidR="004D24E6">
        <w:t xml:space="preserve"> expand their epistemic horizons</w:t>
      </w:r>
      <w:r w:rsidR="002B3337">
        <w:t>; he does not seek to make them philosophers, or even auditors of philosophy. They ‘do well to keep themselves in their present situation’.</w:t>
      </w:r>
      <w:r w:rsidR="00DA1387">
        <w:rPr>
          <w:rStyle w:val="FootnoteReference"/>
        </w:rPr>
        <w:footnoteReference w:id="30"/>
      </w:r>
      <w:r w:rsidR="002B3337">
        <w:t xml:space="preserve"> In short, these gentlemen are under no requirement to reflect more than they do. This is not to say that they lack </w:t>
      </w:r>
      <w:r w:rsidR="002B3337">
        <w:rPr>
          <w:i/>
        </w:rPr>
        <w:t>any</w:t>
      </w:r>
      <w:r w:rsidR="00784DBA">
        <w:t xml:space="preserve"> duty to reflect</w:t>
      </w:r>
      <w:r w:rsidR="009222CA">
        <w:t xml:space="preserve"> whatsoever</w:t>
      </w:r>
      <w:r w:rsidR="00784DBA">
        <w:t>.</w:t>
      </w:r>
      <w:r w:rsidR="002B3337">
        <w:t xml:space="preserve"> </w:t>
      </w:r>
      <w:r>
        <w:t>As we have seen, t</w:t>
      </w:r>
      <w:r w:rsidR="002B3337">
        <w:t xml:space="preserve">his would lead to </w:t>
      </w:r>
      <w:r w:rsidR="004D24E6">
        <w:t>credulity</w:t>
      </w:r>
      <w:r w:rsidR="002B3337">
        <w:t xml:space="preserve">, which </w:t>
      </w:r>
      <w:r w:rsidR="00A36CBE">
        <w:t>is</w:t>
      </w:r>
      <w:r w:rsidR="002B3337">
        <w:t xml:space="preserve"> unambiguously culpable</w:t>
      </w:r>
      <w:r w:rsidR="004D24E6">
        <w:t>, even at the level of common-life; after all, to successfully function in daily life, we need to ensure that we form</w:t>
      </w:r>
      <w:r w:rsidR="009252F6">
        <w:t xml:space="preserve"> generally</w:t>
      </w:r>
      <w:r w:rsidR="004D24E6">
        <w:t xml:space="preserve"> reliable beliefs</w:t>
      </w:r>
      <w:r w:rsidR="002B3337">
        <w:t>. But having reflected to this minimal point</w:t>
      </w:r>
      <w:r w:rsidR="00A36CBE">
        <w:t>,</w:t>
      </w:r>
      <w:r w:rsidR="002B3337">
        <w:t xml:space="preserve"> </w:t>
      </w:r>
      <w:r w:rsidR="004D24E6">
        <w:t>thus</w:t>
      </w:r>
      <w:r w:rsidR="002B3337">
        <w:t xml:space="preserve"> avoiding</w:t>
      </w:r>
      <w:r w:rsidR="004D24E6">
        <w:t xml:space="preserve"> credulous beliefs such as</w:t>
      </w:r>
      <w:r w:rsidR="002B3337">
        <w:t xml:space="preserve"> prejudice and </w:t>
      </w:r>
      <w:r w:rsidR="009A5C99">
        <w:t>unphilosophical probabilities</w:t>
      </w:r>
      <w:r w:rsidR="002B3337">
        <w:t>, the common gentlemen are within their rights to remain content with this limited level of reflection.</w:t>
      </w:r>
      <w:r w:rsidR="00F30EA3">
        <w:t xml:space="preserve"> In short, we only have a duty to reflect up to the point </w:t>
      </w:r>
      <w:r w:rsidR="004B5868">
        <w:t>called for</w:t>
      </w:r>
      <w:r w:rsidR="00F30EA3">
        <w:t xml:space="preserve"> by ‘domestic affairs’, or common life; any reflection beyond this point is not required of us.</w:t>
      </w:r>
      <w:r w:rsidR="00A34417">
        <w:rPr>
          <w:rStyle w:val="FootnoteReference"/>
        </w:rPr>
        <w:footnoteReference w:id="31"/>
      </w:r>
    </w:p>
    <w:p w:rsidR="002B3337" w:rsidRDefault="002B3337" w:rsidP="00055519">
      <w:pPr>
        <w:ind w:firstLine="567"/>
      </w:pPr>
      <w:r>
        <w:t xml:space="preserve">Hume </w:t>
      </w:r>
      <w:r w:rsidR="00EC25ED">
        <w:t>repeats the point</w:t>
      </w:r>
      <w:r>
        <w:t xml:space="preserve"> when preparing to continue his sojourn into Book 2:</w:t>
      </w:r>
    </w:p>
    <w:p w:rsidR="002B3337" w:rsidRDefault="002B3337" w:rsidP="00055519">
      <w:pPr>
        <w:pStyle w:val="HumeReference"/>
      </w:pPr>
      <w:r w:rsidRPr="002B3337">
        <w:t xml:space="preserve">If the reader finds himself in the same easy disposition, let him follow me in my future speculations. If not, let him follow his inclination, and wait the returns </w:t>
      </w:r>
      <w:r>
        <w:t>of application and good humour. (THN 1.4.7.14)</w:t>
      </w:r>
    </w:p>
    <w:p w:rsidR="00392A85" w:rsidRDefault="002B3337" w:rsidP="00EC25ED">
      <w:r>
        <w:lastRenderedPageBreak/>
        <w:t xml:space="preserve">Not all readers are required to follow Hume into his </w:t>
      </w:r>
      <w:r w:rsidR="00475DFE">
        <w:t xml:space="preserve">abstruse reasonings. Those who are inclined to do so should follow Hume’s lead, but those who are not are </w:t>
      </w:r>
      <w:r w:rsidR="00B95EA6">
        <w:t>perfectly entitled</w:t>
      </w:r>
      <w:r w:rsidR="00475DFE">
        <w:t xml:space="preserve"> to follow their inclinations instead.</w:t>
      </w:r>
      <w:r w:rsidR="003E72EF">
        <w:t xml:space="preserve"> </w:t>
      </w:r>
    </w:p>
    <w:p w:rsidR="003916BE" w:rsidRDefault="00392A85" w:rsidP="00392A85">
      <w:pPr>
        <w:ind w:firstLine="720"/>
      </w:pPr>
      <w:r>
        <w:t>In coming to see a certain degree of reflection as optional in THN 1.4.7,</w:t>
      </w:r>
      <w:r w:rsidR="006D0176">
        <w:t xml:space="preserve"> Hume changes his mind about </w:t>
      </w:r>
      <w:r w:rsidR="00BA5922">
        <w:t>the</w:t>
      </w:r>
      <w:r w:rsidR="006D0176">
        <w:t xml:space="preserve"> putative duty to reflect without limits on all our beliefs </w:t>
      </w:r>
      <w:r w:rsidR="00BA5922">
        <w:t>that drives the dialectic in THN 1.4.1. Grappling with</w:t>
      </w:r>
      <w:r w:rsidR="006D0176">
        <w:t xml:space="preserve"> the Dangerous Dilemma </w:t>
      </w:r>
      <w:r w:rsidR="00BA5922">
        <w:t>and seeing no other way out</w:t>
      </w:r>
      <w:r w:rsidR="006D0176">
        <w:t xml:space="preserve">, Hume decides to </w:t>
      </w:r>
      <w:r w:rsidR="00BA5922">
        <w:t>renounce</w:t>
      </w:r>
      <w:r w:rsidR="006D0176">
        <w:t xml:space="preserve"> his commitment to this overly demanding </w:t>
      </w:r>
      <w:r w:rsidR="00BA5922">
        <w:t xml:space="preserve">unrestricted </w:t>
      </w:r>
      <w:r w:rsidR="006D0176">
        <w:t xml:space="preserve">duty in favour of something </w:t>
      </w:r>
      <w:r w:rsidR="00BA5922">
        <w:t>more circumspect</w:t>
      </w:r>
      <w:r w:rsidR="006D0176">
        <w:t xml:space="preserve"> in order to stave off the counter-intuitive extreme scepticism that results from the former.</w:t>
      </w:r>
    </w:p>
    <w:p w:rsidR="00475DFE" w:rsidRPr="00EC25ED" w:rsidRDefault="00F17A7C" w:rsidP="003916BE">
      <w:pPr>
        <w:ind w:firstLine="720"/>
        <w:rPr>
          <w:vertAlign w:val="superscript"/>
        </w:rPr>
      </w:pPr>
      <w:r w:rsidRPr="00F17A7C">
        <w:t>Nevertheless,</w:t>
      </w:r>
      <w:r w:rsidR="00392A85">
        <w:t xml:space="preserve"> despite not being mandated,</w:t>
      </w:r>
      <w:r w:rsidRPr="00F17A7C">
        <w:t xml:space="preserve"> science and philosophy are clearly laudatory pursuits</w:t>
      </w:r>
      <w:r w:rsidR="00937415">
        <w:t>.</w:t>
      </w:r>
      <w:r w:rsidR="00937415" w:rsidRPr="00937415">
        <w:t xml:space="preserve"> </w:t>
      </w:r>
      <w:r w:rsidR="00937415">
        <w:t xml:space="preserve">This </w:t>
      </w:r>
      <w:r w:rsidR="00937415" w:rsidRPr="00937415">
        <w:t>can be seen fr</w:t>
      </w:r>
      <w:r w:rsidR="007A1E6C">
        <w:t>o</w:t>
      </w:r>
      <w:r w:rsidR="00937415" w:rsidRPr="00937415">
        <w:t xml:space="preserve">m the fact that he rejects the maxim of forbidding all refined reasoning </w:t>
      </w:r>
      <w:r w:rsidR="00937415" w:rsidRPr="00937415">
        <w:rPr>
          <w:i/>
        </w:rPr>
        <w:t>precisely because</w:t>
      </w:r>
      <w:r w:rsidR="00937415" w:rsidRPr="00937415">
        <w:t xml:space="preserve"> this would cut off all science and philosophy</w:t>
      </w:r>
      <w:r w:rsidR="00937415">
        <w:t xml:space="preserve"> in THN 1.4.7.7</w:t>
      </w:r>
      <w:r w:rsidR="00937415" w:rsidRPr="00937415">
        <w:t xml:space="preserve">. Elsewhere, he makes the point </w:t>
      </w:r>
      <w:r w:rsidR="00937415" w:rsidRPr="00937415">
        <w:rPr>
          <w:lang w:val="en-US"/>
        </w:rPr>
        <w:t>that philosophy is such that its ‘</w:t>
      </w:r>
      <w:r w:rsidR="00937415" w:rsidRPr="00937415">
        <w:t>sovereign authority ought every where to be acknowledg’d’ (THN 1.4.5.34</w:t>
      </w:r>
      <w:r w:rsidR="00E27735">
        <w:t>)</w:t>
      </w:r>
      <w:r w:rsidR="00937415" w:rsidRPr="00937415">
        <w:t>.</w:t>
      </w:r>
      <w:r w:rsidR="00222659">
        <w:rPr>
          <w:rStyle w:val="FootnoteReference"/>
        </w:rPr>
        <w:footnoteReference w:id="32"/>
      </w:r>
      <w:r w:rsidR="00937415">
        <w:t xml:space="preserve"> Thus,</w:t>
      </w:r>
      <w:r w:rsidRPr="00F17A7C">
        <w:t xml:space="preserve"> although </w:t>
      </w:r>
      <w:r w:rsidR="00937415">
        <w:t>we are not required to pursue science and philosophy</w:t>
      </w:r>
      <w:r w:rsidRPr="00F17A7C">
        <w:t xml:space="preserve">, </w:t>
      </w:r>
      <w:r w:rsidR="00937415">
        <w:t>it is laudable to do so</w:t>
      </w:r>
      <w:r w:rsidR="00E27735">
        <w:t xml:space="preserve">: these pursuits </w:t>
      </w:r>
      <w:r w:rsidRPr="00F17A7C">
        <w:t>are supererogatory.</w:t>
      </w:r>
      <w:r w:rsidR="00EC25ED">
        <w:rPr>
          <w:rStyle w:val="FootnoteReference"/>
        </w:rPr>
        <w:footnoteReference w:id="33"/>
      </w:r>
    </w:p>
    <w:p w:rsidR="002074CE" w:rsidRPr="00080B22" w:rsidRDefault="00453EEE" w:rsidP="00055519">
      <w:pPr>
        <w:ind w:firstLine="567"/>
      </w:pPr>
      <w:r>
        <w:t>To sum up</w:t>
      </w:r>
      <w:r w:rsidR="00475DFE">
        <w:t>, there is</w:t>
      </w:r>
      <w:r w:rsidR="0035205C">
        <w:t xml:space="preserve"> a minimal level of reflection corresponding to the sphere of common life</w:t>
      </w:r>
      <w:r w:rsidR="00475DFE">
        <w:t xml:space="preserve"> that we are obliged to undertake.</w:t>
      </w:r>
      <w:r w:rsidR="008E5C23">
        <w:rPr>
          <w:rStyle w:val="FootnoteReference"/>
        </w:rPr>
        <w:footnoteReference w:id="34"/>
      </w:r>
      <w:r w:rsidR="0091454D">
        <w:rPr>
          <w:vertAlign w:val="superscript"/>
        </w:rPr>
        <w:t xml:space="preserve"> </w:t>
      </w:r>
      <w:bookmarkStart w:id="1" w:name="_Hlk499041658"/>
      <w:r w:rsidR="0091454D">
        <w:t>These baseline obligations to reflect are those involved in the prosaic contemplation of everyday life; that is, reflection that is ‘employ’d’ in our</w:t>
      </w:r>
      <w:r w:rsidR="0091454D" w:rsidRPr="0091454D">
        <w:t xml:space="preserve"> </w:t>
      </w:r>
      <w:r w:rsidR="0091454D">
        <w:t>‘</w:t>
      </w:r>
      <w:r w:rsidR="0091454D" w:rsidRPr="0091454D">
        <w:t>domestic affairs</w:t>
      </w:r>
      <w:r w:rsidR="0091454D">
        <w:t xml:space="preserve">’ (THN 1.4.7.14). We have duties to perform </w:t>
      </w:r>
      <w:r w:rsidR="003A146E">
        <w:t>adequat</w:t>
      </w:r>
      <w:r w:rsidR="0091454D">
        <w:t xml:space="preserve">e minimal reflection that ensures that our causal reasoning about daily life is not </w:t>
      </w:r>
      <w:r w:rsidR="003A146E">
        <w:t>undu</w:t>
      </w:r>
      <w:r w:rsidR="00735D1A">
        <w:t xml:space="preserve">ly </w:t>
      </w:r>
      <w:r w:rsidR="0091454D">
        <w:t>defective</w:t>
      </w:r>
      <w:r w:rsidR="00735D1A">
        <w:t>.</w:t>
      </w:r>
      <w:r w:rsidR="0091454D">
        <w:t xml:space="preserve"> </w:t>
      </w:r>
      <w:r w:rsidR="00735D1A">
        <w:t>For instance</w:t>
      </w:r>
      <w:r w:rsidR="0091454D">
        <w:t>, we should avoid unphilosophical probabilities such as ‘Prejudice’</w:t>
      </w:r>
      <w:r w:rsidR="00080B22">
        <w:t xml:space="preserve">: concluding that </w:t>
      </w:r>
      <w:r w:rsidR="00080B22">
        <w:lastRenderedPageBreak/>
        <w:t xml:space="preserve">‘An </w:t>
      </w:r>
      <w:r w:rsidR="00080B22">
        <w:rPr>
          <w:i/>
        </w:rPr>
        <w:t>Irishman</w:t>
      </w:r>
      <w:r w:rsidR="00080B22">
        <w:t xml:space="preserve"> cannot have wit, and a </w:t>
      </w:r>
      <w:r w:rsidR="00080B22" w:rsidRPr="00080B22">
        <w:rPr>
          <w:i/>
        </w:rPr>
        <w:t>Frenchman</w:t>
      </w:r>
      <w:r w:rsidR="00080B22">
        <w:t xml:space="preserve"> cannot have solidity’ (THN 1.3.13.7) would violate these baseline duties of reflection.</w:t>
      </w:r>
      <w:bookmarkEnd w:id="1"/>
      <w:r w:rsidR="003551E6">
        <w:t xml:space="preserve"> Similarly with falling prey to recency bias in weighing more heavily experiments or observations that have freshly occurred (THN 1.3.13.2). We </w:t>
      </w:r>
      <w:r w:rsidR="0022288B">
        <w:t>are obliged</w:t>
      </w:r>
      <w:r w:rsidR="003551E6">
        <w:t xml:space="preserve"> to sufficiently reflect to avoid these cognitive pitfalls </w:t>
      </w:r>
      <w:r w:rsidR="00735D1A">
        <w:t>that typically infect our reasoning about daily life</w:t>
      </w:r>
      <w:r w:rsidR="003551E6">
        <w:t>.</w:t>
      </w:r>
    </w:p>
    <w:p w:rsidR="00DD51B4" w:rsidRDefault="00475DFE" w:rsidP="00055519">
      <w:pPr>
        <w:ind w:firstLine="567"/>
      </w:pPr>
      <w:r>
        <w:t>However, beyond this</w:t>
      </w:r>
      <w:r w:rsidR="00080B22">
        <w:t xml:space="preserve"> relatively undemanding</w:t>
      </w:r>
      <w:r>
        <w:t xml:space="preserve"> point, reflection </w:t>
      </w:r>
      <w:r w:rsidR="0035205C">
        <w:t>can be</w:t>
      </w:r>
      <w:r>
        <w:t xml:space="preserve"> supererogatory: </w:t>
      </w:r>
      <w:r w:rsidR="0091454D">
        <w:t>any reflection that is esoteric to intellectual pursuits</w:t>
      </w:r>
      <w:r w:rsidR="00080B22">
        <w:t xml:space="preserve"> (rather than endemic to common life)</w:t>
      </w:r>
      <w:r>
        <w:t xml:space="preserve"> </w:t>
      </w:r>
      <w:r w:rsidR="0035205C">
        <w:t>might be</w:t>
      </w:r>
      <w:r>
        <w:t xml:space="preserve"> good, but not required.</w:t>
      </w:r>
      <w:r w:rsidR="00DD51B4">
        <w:t xml:space="preserve"> How does this framework allow Hume to achieve his </w:t>
      </w:r>
      <w:r w:rsidR="00043847">
        <w:t>doxastic</w:t>
      </w:r>
      <w:r w:rsidR="00DD51B4">
        <w:t xml:space="preserve"> goa</w:t>
      </w:r>
      <w:r w:rsidR="00A542B1">
        <w:t>ls? It clearly dismisse</w:t>
      </w:r>
      <w:r w:rsidR="00A36CBE">
        <w:t>s</w:t>
      </w:r>
      <w:r w:rsidR="009D175D">
        <w:t xml:space="preserve"> the </w:t>
      </w:r>
      <w:r w:rsidR="004735C8">
        <w:t>credulity</w:t>
      </w:r>
      <w:r w:rsidR="00DD51B4">
        <w:t xml:space="preserve"> horn that stemmed from rejecting any duty to reflect. Since there is a level of reflection required of us as a duty, we can dismiss most epistemically bad trivial propensities, and thus banish most errors and obscurities. It also goes some way to avoiding the </w:t>
      </w:r>
      <w:r w:rsidR="009D175D">
        <w:t>sceptical</w:t>
      </w:r>
      <w:r w:rsidR="009222CA">
        <w:t xml:space="preserve"> horn</w:t>
      </w:r>
      <w:r w:rsidR="00DD51B4">
        <w:t>. Because we do not have an absolute duty to always reflect, we are not bound by duty to the epistemic apocalypse described in THN 1.4.1.</w:t>
      </w:r>
    </w:p>
    <w:p w:rsidR="00055519" w:rsidRDefault="008B4432" w:rsidP="00055519">
      <w:pPr>
        <w:ind w:firstLine="567"/>
      </w:pPr>
      <w:r>
        <w:t>At this point, my interpretation</w:t>
      </w:r>
      <w:r w:rsidR="00DD51B4">
        <w:t xml:space="preserve"> might </w:t>
      </w:r>
      <w:r>
        <w:t>rouse some worries</w:t>
      </w:r>
      <w:r w:rsidR="00DD51B4">
        <w:t xml:space="preserve">. Although we are no longer bound by duty to the destruction of all our beliefs, we still want to claim that such an outcome is </w:t>
      </w:r>
      <w:r w:rsidR="00DD51B4">
        <w:rPr>
          <w:i/>
        </w:rPr>
        <w:t>bad</w:t>
      </w:r>
      <w:r w:rsidR="00DD51B4">
        <w:t xml:space="preserve">. But if higher levels of reflection are supererogatory, as Hume must recognise in order to preserve the claim that philosophy and science are laudatory pursuits, </w:t>
      </w:r>
      <w:r w:rsidR="00E454CC">
        <w:t>he</w:t>
      </w:r>
      <w:r w:rsidR="00DD51B4">
        <w:t xml:space="preserve"> </w:t>
      </w:r>
      <w:r w:rsidR="00D14F6A">
        <w:t>seems</w:t>
      </w:r>
      <w:r w:rsidR="00DD51B4">
        <w:t xml:space="preserve"> nevertheless </w:t>
      </w:r>
      <w:r w:rsidR="00D14F6A">
        <w:t xml:space="preserve">to </w:t>
      </w:r>
      <w:r w:rsidR="00784DBA">
        <w:t>be forced to admit</w:t>
      </w:r>
      <w:r w:rsidR="00DD51B4">
        <w:t xml:space="preserve"> that epistemic annihilation, while not required </w:t>
      </w:r>
      <w:r w:rsidR="00DD51B4">
        <w:rPr>
          <w:i/>
        </w:rPr>
        <w:t>per se</w:t>
      </w:r>
      <w:r w:rsidR="00DD51B4">
        <w:t xml:space="preserve">, is </w:t>
      </w:r>
      <w:r w:rsidR="00F17A7C">
        <w:t xml:space="preserve">yet </w:t>
      </w:r>
      <w:r w:rsidR="00784DBA">
        <w:t>laudable</w:t>
      </w:r>
      <w:r w:rsidR="00DD51B4">
        <w:t>.</w:t>
      </w:r>
      <w:r w:rsidR="00161AFB">
        <w:rPr>
          <w:rStyle w:val="FootnoteReference"/>
        </w:rPr>
        <w:footnoteReference w:id="35"/>
      </w:r>
      <w:r w:rsidR="00DD51B4">
        <w:t xml:space="preserve"> And this is </w:t>
      </w:r>
      <w:r w:rsidR="009222CA">
        <w:t>deeply</w:t>
      </w:r>
      <w:r w:rsidR="00DD51B4">
        <w:t xml:space="preserve"> counterintuitive.</w:t>
      </w:r>
      <w:r w:rsidR="001A0A31">
        <w:rPr>
          <w:rStyle w:val="FootnoteReference"/>
        </w:rPr>
        <w:footnoteReference w:id="36"/>
      </w:r>
      <w:r w:rsidR="00DD51B4">
        <w:t xml:space="preserve"> </w:t>
      </w:r>
    </w:p>
    <w:p w:rsidR="009D04E1" w:rsidRDefault="00DD51B4" w:rsidP="00E27735">
      <w:pPr>
        <w:ind w:firstLine="567"/>
      </w:pPr>
      <w:r>
        <w:t xml:space="preserve">Moreover, </w:t>
      </w:r>
      <w:r w:rsidR="00652686">
        <w:t xml:space="preserve">there is still the </w:t>
      </w:r>
      <w:r w:rsidR="007561F2">
        <w:t>problem</w:t>
      </w:r>
      <w:r w:rsidR="00652686">
        <w:t xml:space="preserve"> of</w:t>
      </w:r>
      <w:r>
        <w:t xml:space="preserve"> superstition</w:t>
      </w:r>
      <w:r w:rsidR="00652686">
        <w:t>.</w:t>
      </w:r>
      <w:r w:rsidR="00652686" w:rsidRPr="00652686">
        <w:t xml:space="preserve"> Superstition typically involves postulating supernatural entities </w:t>
      </w:r>
      <w:r w:rsidR="000231AA">
        <w:t>as explanations for phenomena—</w:t>
      </w:r>
      <w:r w:rsidR="00652686" w:rsidRPr="00652686">
        <w:t xml:space="preserve">the earthquake struck because God was unhappy; the seizure happened because of possession by evil spirits, and so </w:t>
      </w:r>
      <w:r w:rsidR="00652686" w:rsidRPr="00652686">
        <w:lastRenderedPageBreak/>
        <w:t>forth.</w:t>
      </w:r>
      <w:r w:rsidR="00AA12E9">
        <w:t xml:space="preserve"> </w:t>
      </w:r>
      <w:r w:rsidR="00E27735">
        <w:t>These posits proliferate as the</w:t>
      </w:r>
      <w:r w:rsidR="00652686">
        <w:t xml:space="preserve"> result of insufficient reflection.</w:t>
      </w:r>
      <w:r w:rsidR="000140BA">
        <w:rPr>
          <w:rStyle w:val="FootnoteReference"/>
        </w:rPr>
        <w:footnoteReference w:id="37"/>
      </w:r>
      <w:r w:rsidR="00652686">
        <w:t xml:space="preserve"> </w:t>
      </w:r>
      <w:r w:rsidR="00E27735" w:rsidRPr="00E27735">
        <w:t xml:space="preserve">As Hume describes the genesis of religion in the </w:t>
      </w:r>
      <w:r w:rsidR="00E27735" w:rsidRPr="00E27735">
        <w:rPr>
          <w:i/>
        </w:rPr>
        <w:t>Natural History of Religion</w:t>
      </w:r>
      <w:r w:rsidR="00E27735" w:rsidRPr="00E27735">
        <w:t>, polytheism (the first form of religion) arose from our tendency to explain phenomena as effects of intelligent entities that are human-like in various ways (NHR 3.2). This is clearly an instance of the first influence</w:t>
      </w:r>
      <w:r w:rsidR="00E256CA">
        <w:t xml:space="preserve"> of general rules</w:t>
      </w:r>
      <w:r w:rsidR="00E27735" w:rsidRPr="00E27735">
        <w:t xml:space="preserve">: in postulating such a causal relation between intelligent agents and natural phenomena, we fail to distinguish the ‘essential’ from the ‘superfluous’ (THN 1.3.13.9) circumstances involving causation by intelligent beings, and thus mistakenly attribute natural phenomena to the actions of unseen gods and spirits. </w:t>
      </w:r>
    </w:p>
    <w:p w:rsidR="00652686" w:rsidRDefault="00E27735" w:rsidP="00E27735">
      <w:pPr>
        <w:ind w:firstLine="567"/>
      </w:pPr>
      <w:r w:rsidRPr="00E27735">
        <w:t>As Hume notes, such beliefs belong to the ‘vulgar’, and would be easily corrected by reason (NHR 1.8).</w:t>
      </w:r>
      <w:r w:rsidR="009D04E1">
        <w:t xml:space="preserve"> Thus</w:t>
      </w:r>
      <w:r>
        <w:t xml:space="preserve">, this form of </w:t>
      </w:r>
      <w:r w:rsidR="00652686" w:rsidRPr="00652686">
        <w:t xml:space="preserve">superstition is the result of </w:t>
      </w:r>
      <w:r w:rsidR="00385866">
        <w:t xml:space="preserve">the first influence </w:t>
      </w:r>
      <w:r w:rsidR="00652686">
        <w:t xml:space="preserve">when uncorrected by the </w:t>
      </w:r>
      <w:r w:rsidR="004575D6">
        <w:t xml:space="preserve">reflective </w:t>
      </w:r>
      <w:r w:rsidR="00652686">
        <w:t>second influence</w:t>
      </w:r>
      <w:r w:rsidR="009D175D">
        <w:t>, which is to say, it arises from insufficient reflection</w:t>
      </w:r>
      <w:r w:rsidR="00652686" w:rsidRPr="00652686">
        <w:t>.</w:t>
      </w:r>
      <w:r w:rsidR="009D04E1">
        <w:t xml:space="preserve"> One does not need to be a philosopher or a scientist to recognise that such beliefs are problematic, as a simple application of the second instance of general rules would suffice.</w:t>
      </w:r>
      <w:r w:rsidR="00652686">
        <w:t xml:space="preserve"> </w:t>
      </w:r>
      <w:r w:rsidR="009D04E1" w:rsidRPr="009D04E1">
        <w:t xml:space="preserve">In virtue of the fact that such primitive superstition would not survive </w:t>
      </w:r>
      <w:r w:rsidR="009D04E1">
        <w:t>even relatively</w:t>
      </w:r>
      <w:r w:rsidR="009D04E1" w:rsidRPr="009D04E1">
        <w:t xml:space="preserve"> cursory reflection</w:t>
      </w:r>
      <w:r w:rsidR="009D04E1">
        <w:t>,</w:t>
      </w:r>
      <w:r w:rsidR="009D04E1" w:rsidRPr="009D04E1">
        <w:t xml:space="preserve"> </w:t>
      </w:r>
      <w:r w:rsidR="009D04E1">
        <w:t>s</w:t>
      </w:r>
      <w:r>
        <w:t>uch superstition is readily dismissed by Hume’s framework,</w:t>
      </w:r>
      <w:r w:rsidR="00652686">
        <w:t xml:space="preserve"> </w:t>
      </w:r>
      <w:r>
        <w:t>given</w:t>
      </w:r>
      <w:r w:rsidR="00D41C34">
        <w:t xml:space="preserve"> that it results from a failure</w:t>
      </w:r>
      <w:r w:rsidR="00652686">
        <w:t xml:space="preserve"> to fulfil a minimal duty to reflect.</w:t>
      </w:r>
    </w:p>
    <w:p w:rsidR="00055519" w:rsidRDefault="00652686" w:rsidP="00055519">
      <w:pPr>
        <w:ind w:firstLine="567"/>
      </w:pPr>
      <w:r>
        <w:t>However, some superstition involves a great deal of reflection</w:t>
      </w:r>
      <w:r w:rsidR="000140BA">
        <w:t xml:space="preserve">, for instance </w:t>
      </w:r>
      <w:r w:rsidR="00A33423">
        <w:t>reasoning</w:t>
      </w:r>
      <w:r w:rsidR="000140BA">
        <w:t xml:space="preserve"> </w:t>
      </w:r>
      <w:r w:rsidR="00A33423">
        <w:t>regarding the nature of God or the origin of the universe</w:t>
      </w:r>
      <w:r w:rsidR="000140BA">
        <w:t>.</w:t>
      </w:r>
      <w:r w:rsidR="00E143B2">
        <w:t xml:space="preserve"> </w:t>
      </w:r>
      <w:r w:rsidR="000140BA">
        <w:t>T</w:t>
      </w:r>
      <w:r>
        <w:t xml:space="preserve">his is likely the form of superstition that Hume </w:t>
      </w:r>
      <w:r w:rsidR="00793524">
        <w:t>has in mind in THN 1.4.7</w:t>
      </w:r>
      <w:r w:rsidR="00055519">
        <w:t>:</w:t>
      </w:r>
    </w:p>
    <w:p w:rsidR="00055519" w:rsidRDefault="00055519" w:rsidP="00055519">
      <w:pPr>
        <w:pStyle w:val="HumeReference"/>
      </w:pPr>
      <w:r w:rsidRPr="00055519">
        <w:t xml:space="preserve">But even suppose this curiosity and ambition shou’d not transport me into speculations without the sphere of common life, it wou’d necessarily happen, that from my very weakness I must be led into such enquiries. </w:t>
      </w:r>
      <w:r>
        <w:t xml:space="preserve">’Tis certain, that superstition… </w:t>
      </w:r>
      <w:r w:rsidRPr="00055519">
        <w:t>opens a world of its own, and presents us with scenes, and beings, and objects, which are altogether new. </w:t>
      </w:r>
      <w:r>
        <w:t>(THN 1.4.7.13)</w:t>
      </w:r>
    </w:p>
    <w:p w:rsidR="00DD51B4" w:rsidRDefault="00E143B2" w:rsidP="00055519">
      <w:r>
        <w:lastRenderedPageBreak/>
        <w:t>Superstition in this sense goes</w:t>
      </w:r>
      <w:r w:rsidR="009D175D">
        <w:t xml:space="preserve"> far</w:t>
      </w:r>
      <w:r>
        <w:t xml:space="preserve"> beyond the bounds of common life</w:t>
      </w:r>
      <w:r w:rsidR="00E27735">
        <w:t xml:space="preserve">, </w:t>
      </w:r>
      <w:r w:rsidR="007A1E6C">
        <w:t>being high</w:t>
      </w:r>
      <w:r w:rsidR="00BA5922">
        <w:t>ly</w:t>
      </w:r>
      <w:r w:rsidR="007A1E6C">
        <w:t xml:space="preserve"> reflective in nature</w:t>
      </w:r>
      <w:r>
        <w:t xml:space="preserve">. </w:t>
      </w:r>
      <w:r w:rsidR="009A61C9">
        <w:t xml:space="preserve">Is </w:t>
      </w:r>
      <w:r w:rsidR="00AA12E9">
        <w:t>this to say that</w:t>
      </w:r>
      <w:r w:rsidR="000140BA">
        <w:t xml:space="preserve"> such</w:t>
      </w:r>
      <w:r w:rsidR="00AA12E9">
        <w:t xml:space="preserve"> </w:t>
      </w:r>
      <w:r w:rsidR="009A61C9">
        <w:t xml:space="preserve">superstition </w:t>
      </w:r>
      <w:r w:rsidR="00AA12E9">
        <w:t xml:space="preserve">is </w:t>
      </w:r>
      <w:r w:rsidR="009A61C9">
        <w:t>laudatory as well?</w:t>
      </w:r>
      <w:r>
        <w:rPr>
          <w:rStyle w:val="FootnoteReference"/>
        </w:rPr>
        <w:footnoteReference w:id="38"/>
      </w:r>
      <w:r w:rsidR="009A61C9">
        <w:t xml:space="preserve"> This is surely an unwelcome result! </w:t>
      </w:r>
      <w:r w:rsidR="00DD51B4">
        <w:t>More needs to be said.</w:t>
      </w:r>
    </w:p>
    <w:p w:rsidR="00DD51B4" w:rsidRDefault="00DD51B4" w:rsidP="00DD51B4">
      <w:pPr>
        <w:pStyle w:val="Heading2"/>
        <w:numPr>
          <w:ilvl w:val="0"/>
          <w:numId w:val="1"/>
        </w:numPr>
      </w:pPr>
      <w:r>
        <w:t>Beyond the</w:t>
      </w:r>
      <w:r w:rsidR="00F30EA3">
        <w:t xml:space="preserve"> Deontological</w:t>
      </w:r>
      <w:r>
        <w:t xml:space="preserve"> Threshold</w:t>
      </w:r>
    </w:p>
    <w:p w:rsidR="00DD51B4" w:rsidRDefault="00CD5720" w:rsidP="00DD51B4">
      <w:r>
        <w:t>Hume has ma</w:t>
      </w:r>
      <w:r w:rsidR="0070234D">
        <w:t>naged to avoid one horn of the Dangerous D</w:t>
      </w:r>
      <w:r>
        <w:t>ilemma, and has gone some way to</w:t>
      </w:r>
      <w:r w:rsidR="00EC25ED">
        <w:t>wards</w:t>
      </w:r>
      <w:r>
        <w:t xml:space="preserve"> addressing the second.</w:t>
      </w:r>
      <w:r w:rsidR="00B95EA6">
        <w:t xml:space="preserve"> As mentioned above, there is nevertheless still </w:t>
      </w:r>
      <w:r w:rsidR="00E27735">
        <w:t>the</w:t>
      </w:r>
      <w:r w:rsidR="00B95EA6">
        <w:t xml:space="preserve"> problem of distinguishing good </w:t>
      </w:r>
      <w:r w:rsidR="00D57B65">
        <w:t>levels of reflection</w:t>
      </w:r>
      <w:r w:rsidR="00B95EA6">
        <w:t xml:space="preserve"> from bad beyond the deontological threshold. How can Hum</w:t>
      </w:r>
      <w:r>
        <w:t>e casti</w:t>
      </w:r>
      <w:r w:rsidR="00B95EA6">
        <w:t>gate excessive scepticism and superstition</w:t>
      </w:r>
      <w:r>
        <w:t xml:space="preserve">, while </w:t>
      </w:r>
      <w:r w:rsidR="0035205C">
        <w:t>nevertheless</w:t>
      </w:r>
      <w:r w:rsidR="00B95EA6">
        <w:t xml:space="preserve"> lauding science and philosophy</w:t>
      </w:r>
      <w:r>
        <w:t>?</w:t>
      </w:r>
      <w:r w:rsidR="00F30EA3">
        <w:t xml:space="preserve"> </w:t>
      </w:r>
      <w:r w:rsidR="0035205C">
        <w:t>To resolve this issue</w:t>
      </w:r>
      <w:r w:rsidR="00F30EA3">
        <w:t xml:space="preserve">, we have to examine THN 1.4.7 for a theory of what </w:t>
      </w:r>
      <w:r w:rsidR="005525DF">
        <w:t xml:space="preserve">makes </w:t>
      </w:r>
      <w:r w:rsidR="00D57B65">
        <w:t xml:space="preserve">a </w:t>
      </w:r>
      <w:r w:rsidR="000231AA">
        <w:t xml:space="preserve">certain </w:t>
      </w:r>
      <w:r w:rsidR="00D57B65">
        <w:t>level of reflection</w:t>
      </w:r>
      <w:r w:rsidR="005525DF">
        <w:t xml:space="preserve"> good</w:t>
      </w:r>
      <w:r w:rsidR="00F30EA3">
        <w:t xml:space="preserve"> beyond the deontological threshold of common life.</w:t>
      </w:r>
    </w:p>
    <w:p w:rsidR="00E718B0" w:rsidRDefault="00F03C2A" w:rsidP="00055519">
      <w:pPr>
        <w:ind w:firstLine="567"/>
      </w:pPr>
      <w:r>
        <w:t xml:space="preserve">First, a quick note. If one recognises the supererogatory, one is committed to a theory of the good beyond the </w:t>
      </w:r>
      <w:r w:rsidR="005853B5">
        <w:t xml:space="preserve">bounds of duty. One needs some basis, apart from deontological considerations, on which to claim that a supererogatory action is in fact </w:t>
      </w:r>
      <w:r w:rsidR="00043847">
        <w:t>laudable</w:t>
      </w:r>
      <w:r w:rsidR="005853B5">
        <w:t xml:space="preserve">. </w:t>
      </w:r>
      <w:r w:rsidR="009222CA">
        <w:t>Of course</w:t>
      </w:r>
      <w:r w:rsidR="00E718B0">
        <w:t>, we would not want to claim that goodness beyond the bounds of a duty to X is simply a matter o</w:t>
      </w:r>
      <w:r w:rsidR="00A36CBE">
        <w:t xml:space="preserve">f ‘more X is better’. Take the </w:t>
      </w:r>
      <w:r w:rsidR="00E718B0">
        <w:t>example</w:t>
      </w:r>
      <w:r w:rsidR="00A36CBE">
        <w:t xml:space="preserve"> of </w:t>
      </w:r>
      <w:r w:rsidR="0092092F">
        <w:t xml:space="preserve">duties we have to oneself. A person has </w:t>
      </w:r>
      <w:r w:rsidR="004735C8">
        <w:t>duties</w:t>
      </w:r>
      <w:r w:rsidR="0092092F">
        <w:t xml:space="preserve"> to improve themselves to a degree</w:t>
      </w:r>
      <w:r w:rsidR="00A36CBE">
        <w:t>; we should develop and nurture our natural talents</w:t>
      </w:r>
      <w:r w:rsidR="0092092F">
        <w:t>. Some people pursue excellence</w:t>
      </w:r>
      <w:r w:rsidR="00A36CBE">
        <w:t xml:space="preserve"> in certain fields</w:t>
      </w:r>
      <w:r w:rsidR="0092092F">
        <w:t xml:space="preserve"> diligently,</w:t>
      </w:r>
      <w:r w:rsidR="00A36CBE">
        <w:t xml:space="preserve"> such as the concert violinist,</w:t>
      </w:r>
      <w:r w:rsidR="0092092F">
        <w:t xml:space="preserve"> and we might say that </w:t>
      </w:r>
      <w:r w:rsidR="00A36CBE">
        <w:t xml:space="preserve">such pursuits are supererogatory. But one who </w:t>
      </w:r>
      <w:r w:rsidR="0092092F">
        <w:t>dedicate</w:t>
      </w:r>
      <w:r w:rsidR="00A36CBE">
        <w:t>d</w:t>
      </w:r>
      <w:r w:rsidR="0092092F">
        <w:t xml:space="preserve"> one’s life to</w:t>
      </w:r>
      <w:r w:rsidR="00C20161">
        <w:t xml:space="preserve"> violin-playing </w:t>
      </w:r>
      <w:r w:rsidR="0092092F">
        <w:t xml:space="preserve">at the expense of </w:t>
      </w:r>
      <w:r w:rsidR="004735C8">
        <w:t>friends, family</w:t>
      </w:r>
      <w:r w:rsidR="00A36CBE">
        <w:t>, and</w:t>
      </w:r>
      <w:r w:rsidR="004735C8">
        <w:t xml:space="preserve"> </w:t>
      </w:r>
      <w:r w:rsidR="00A36CBE">
        <w:t xml:space="preserve">ethical considerations </w:t>
      </w:r>
      <w:r w:rsidR="0092092F">
        <w:t xml:space="preserve">would not be laudable; </w:t>
      </w:r>
      <w:r w:rsidR="00A36CBE">
        <w:t>this</w:t>
      </w:r>
      <w:r w:rsidR="0092092F">
        <w:t xml:space="preserve"> would be a tremendously selfish way to live. In short, a theory of the good beyond the deontological threshold should not simply consist of ‘more’ of the duty. A different account is needed.</w:t>
      </w:r>
      <w:r w:rsidR="00C96C0C">
        <w:t xml:space="preserve"> </w:t>
      </w:r>
    </w:p>
    <w:p w:rsidR="009252F6" w:rsidRPr="005853B5" w:rsidRDefault="009252F6" w:rsidP="00055519">
      <w:pPr>
        <w:ind w:firstLine="567"/>
      </w:pPr>
      <w:r>
        <w:t xml:space="preserve">The most natural basis on which to evaluate actions beyond the deontological threshold seems to be in terms of their results. This is perhaps why Urmson (1958, p.216) ends his </w:t>
      </w:r>
      <w:r>
        <w:lastRenderedPageBreak/>
        <w:t>paper by suggesting that his proposed moral account of the supererogatory might ‘be called a version of utilitarianism’, and moreover notes that ‘utilitarianism can best accommodate’ the supererogatory (p.215).</w:t>
      </w:r>
      <w:r>
        <w:rPr>
          <w:rStyle w:val="FootnoteReference"/>
        </w:rPr>
        <w:footnoteReference w:id="39"/>
      </w:r>
      <w:r>
        <w:t xml:space="preserve"> This fear of diluting the deontological is likely why some deontologists have been so reluctant to straightforwardly recognise the supererogatory, either accounting for </w:t>
      </w:r>
      <w:r w:rsidR="00FA790B">
        <w:t>supererogatory phenomena</w:t>
      </w:r>
      <w:r>
        <w:t xml:space="preserve"> in terms of weaker duties (such as imperfect duties), or rejecting them </w:t>
      </w:r>
      <w:r>
        <w:rPr>
          <w:i/>
        </w:rPr>
        <w:t>tout court</w:t>
      </w:r>
      <w:r>
        <w:t>.</w:t>
      </w:r>
      <w:r>
        <w:rPr>
          <w:rStyle w:val="FootnoteReference"/>
        </w:rPr>
        <w:footnoteReference w:id="40"/>
      </w:r>
      <w:r>
        <w:t xml:space="preserve"> </w:t>
      </w:r>
      <w:r w:rsidR="00EA478C">
        <w:t>Thus,</w:t>
      </w:r>
      <w:r>
        <w:t xml:space="preserve"> if I am right that Hume recognises philosophy and science as supererogatory, he is required to give a distinctly non-deontological account of what makes </w:t>
      </w:r>
      <w:r w:rsidR="00D57B65">
        <w:t>a certain level of reflection</w:t>
      </w:r>
      <w:r w:rsidR="00EA478C">
        <w:t xml:space="preserve"> good beyond the bounds of duty, and</w:t>
      </w:r>
      <w:r>
        <w:t xml:space="preserve"> such a framework will likely evaluate </w:t>
      </w:r>
      <w:r w:rsidR="00D57B65">
        <w:t>levels of reflection</w:t>
      </w:r>
      <w:r>
        <w:t xml:space="preserve"> in terms of their results.</w:t>
      </w:r>
      <w:r>
        <w:rPr>
          <w:rStyle w:val="FootnoteReference"/>
        </w:rPr>
        <w:footnoteReference w:id="41"/>
      </w:r>
    </w:p>
    <w:p w:rsidR="00F03C2A" w:rsidRDefault="0035205C" w:rsidP="00055519">
      <w:pPr>
        <w:ind w:firstLine="567"/>
      </w:pPr>
      <w:r>
        <w:t>It</w:t>
      </w:r>
      <w:r w:rsidR="00F03C2A">
        <w:t xml:space="preserve"> is no great originality on </w:t>
      </w:r>
      <w:r w:rsidR="009E5A77">
        <w:t>my part to note that there is a</w:t>
      </w:r>
      <w:r w:rsidR="00F03C2A">
        <w:t xml:space="preserve"> </w:t>
      </w:r>
      <w:r w:rsidR="00784DBA">
        <w:t>strong</w:t>
      </w:r>
      <w:r w:rsidR="00F03C2A">
        <w:t xml:space="preserve"> theme of usefulness and agreeableness in THN 1.4.7.</w:t>
      </w:r>
      <w:r w:rsidR="003C0084">
        <w:rPr>
          <w:rStyle w:val="FootnoteReference"/>
        </w:rPr>
        <w:footnoteReference w:id="42"/>
      </w:r>
      <w:r w:rsidR="00C749F5">
        <w:t xml:space="preserve"> This, I suggest, is h</w:t>
      </w:r>
      <w:r w:rsidR="00D57B65">
        <w:t xml:space="preserve">ow Hume distinguishes good levels of reflection </w:t>
      </w:r>
      <w:r w:rsidR="00C749F5">
        <w:t>from bad ones when beyond the bounds of duty.</w:t>
      </w:r>
      <w:r w:rsidR="00F93A94">
        <w:t xml:space="preserve"> Beyond the deontological threshold,</w:t>
      </w:r>
      <w:r w:rsidR="00C749F5">
        <w:t xml:space="preserve"> </w:t>
      </w:r>
      <w:r w:rsidR="00F93A94">
        <w:t>g</w:t>
      </w:r>
      <w:r w:rsidR="00C749F5">
        <w:t xml:space="preserve">ood </w:t>
      </w:r>
      <w:r w:rsidR="00D57B65">
        <w:t>levels of reflection are those that produce</w:t>
      </w:r>
      <w:r w:rsidR="00C749F5">
        <w:t xml:space="preserve"> useful or agreeable</w:t>
      </w:r>
      <w:r w:rsidR="00D57B65">
        <w:t xml:space="preserve"> beliefs</w:t>
      </w:r>
      <w:r w:rsidR="00C749F5">
        <w:t xml:space="preserve">, </w:t>
      </w:r>
      <w:r w:rsidR="00F93A94">
        <w:t>while</w:t>
      </w:r>
      <w:r w:rsidR="00D57B65">
        <w:t xml:space="preserve"> bad levels of reflection</w:t>
      </w:r>
      <w:r w:rsidR="00C749F5">
        <w:t xml:space="preserve"> are those which </w:t>
      </w:r>
      <w:r w:rsidR="00D57B65">
        <w:t>produce</w:t>
      </w:r>
      <w:r w:rsidR="00C749F5">
        <w:t xml:space="preserve"> disagreeable </w:t>
      </w:r>
      <w:r w:rsidR="00DD5D02">
        <w:t>or</w:t>
      </w:r>
      <w:r w:rsidR="00C749F5">
        <w:t xml:space="preserve"> detrimental</w:t>
      </w:r>
      <w:r w:rsidR="00D57B65">
        <w:t xml:space="preserve"> beliefs</w:t>
      </w:r>
      <w:r w:rsidR="00C749F5">
        <w:t xml:space="preserve">. This allows Hume to </w:t>
      </w:r>
      <w:r w:rsidR="00EF422D">
        <w:t>dismiss</w:t>
      </w:r>
      <w:r w:rsidR="00C749F5">
        <w:t xml:space="preserve"> superstition and excessive scepticism while nevertheless endorsing science and philosophy. Since our limited duty to reflect has already ruled out </w:t>
      </w:r>
      <w:r w:rsidR="00C20161">
        <w:t>credulity</w:t>
      </w:r>
      <w:r w:rsidR="00C749F5">
        <w:t>, Hume’s ep</w:t>
      </w:r>
      <w:r w:rsidR="00043847">
        <w:t>istemic framework in THN 1.4.7 license</w:t>
      </w:r>
      <w:r w:rsidR="00C749F5">
        <w:t xml:space="preserve">s him to accomplish all his </w:t>
      </w:r>
      <w:r w:rsidR="00043847">
        <w:t>doxastic</w:t>
      </w:r>
      <w:r w:rsidR="00C749F5">
        <w:t xml:space="preserve"> goals.</w:t>
      </w:r>
      <w:r w:rsidR="008E5C23">
        <w:rPr>
          <w:rStyle w:val="FootnoteReference"/>
        </w:rPr>
        <w:footnoteReference w:id="43"/>
      </w:r>
    </w:p>
    <w:p w:rsidR="00C749F5" w:rsidRDefault="00C749F5" w:rsidP="00055519">
      <w:pPr>
        <w:ind w:firstLine="567"/>
      </w:pPr>
      <w:r>
        <w:lastRenderedPageBreak/>
        <w:t>Hume clearly takes</w:t>
      </w:r>
      <w:r w:rsidR="005166AA">
        <w:t xml:space="preserve"> science and</w:t>
      </w:r>
      <w:r>
        <w:t xml:space="preserve"> philos</w:t>
      </w:r>
      <w:r w:rsidR="005166AA">
        <w:t>ophy to be agreeable:</w:t>
      </w:r>
      <w:r w:rsidR="005166AA">
        <w:rPr>
          <w:rStyle w:val="FootnoteReference"/>
        </w:rPr>
        <w:footnoteReference w:id="44"/>
      </w:r>
    </w:p>
    <w:p w:rsidR="005166AA" w:rsidRDefault="005166AA" w:rsidP="00055519">
      <w:pPr>
        <w:pStyle w:val="HumeReference"/>
      </w:pPr>
      <w:r>
        <w:t>These sentiments spring up naturally in my present disposition; and shou’d I endeavour to banish them, by attaching myself to any other business or diversion, I feel I shou’d be a loser in point of pleasure; and this is the origin of my philosophy. (THN 1.4.7.12)</w:t>
      </w:r>
    </w:p>
    <w:p w:rsidR="005166AA" w:rsidRDefault="005166AA" w:rsidP="00055519">
      <w:pPr>
        <w:pStyle w:val="HumeReference"/>
      </w:pPr>
      <w:r>
        <w:t>A true sceptic will be diffident of his philosophical doubts, as well as of his philosophical conviction; and will never refuse any innocent satisfaction, which offers itself, upon account of either of them. (THN 1.4.7.14)</w:t>
      </w:r>
    </w:p>
    <w:p w:rsidR="005166AA" w:rsidRDefault="005166AA" w:rsidP="005166AA">
      <w:r>
        <w:t xml:space="preserve">Moreover, Hume is led to return to philosophy by his passions of curiosity and ambition (THN 1.4.7.12). As </w:t>
      </w:r>
      <w:r w:rsidR="003C0084">
        <w:t>often noted in the secondary literature</w:t>
      </w:r>
      <w:r>
        <w:t>, curiosity is stirred only when the discovery of truth is agreeable due to the ‘genius and capacity’ required to discern it (THN 2.3.10.3), or when the truth concerned is useful (THN 2.3.10.4).</w:t>
      </w:r>
      <w:r w:rsidR="003C0084">
        <w:rPr>
          <w:rStyle w:val="FootnoteReference"/>
        </w:rPr>
        <w:footnoteReference w:id="45"/>
      </w:r>
      <w:r w:rsidR="000F7396">
        <w:t xml:space="preserve"> Moreover, Hume’s ambition is </w:t>
      </w:r>
      <w:r w:rsidR="000F7396" w:rsidRPr="000F7396">
        <w:t xml:space="preserve">‘of contributing to the instruction of mankind’, thus ‘acquiring a name’ by his ‘inventions </w:t>
      </w:r>
      <w:r w:rsidR="000F7396">
        <w:t>and discoveries’ (THN 1.4.7.12); contributing to the instruction of mankind is clearly useful</w:t>
      </w:r>
      <w:r w:rsidR="009222CA">
        <w:t xml:space="preserve"> to society</w:t>
      </w:r>
      <w:r w:rsidR="000F7396">
        <w:t xml:space="preserve">, while the acquisition of fame is agreeable to Hume. </w:t>
      </w:r>
      <w:r w:rsidR="009A5C99">
        <w:t xml:space="preserve">Although science and philosophy involve a level of reflection beyond the bounds of duty, </w:t>
      </w:r>
      <w:r w:rsidR="000F7396">
        <w:t xml:space="preserve">Hume </w:t>
      </w:r>
      <w:r w:rsidR="009A5C99">
        <w:t>nevertheless</w:t>
      </w:r>
      <w:r w:rsidR="000F7396">
        <w:t xml:space="preserve"> endorses science and philosophy on the basis</w:t>
      </w:r>
      <w:r w:rsidR="00D57B65">
        <w:t xml:space="preserve"> that such a level of reflection is useful and agreeable</w:t>
      </w:r>
      <w:r w:rsidR="000F7396">
        <w:t>.</w:t>
      </w:r>
    </w:p>
    <w:p w:rsidR="000F7396" w:rsidRDefault="0050160B" w:rsidP="00055519">
      <w:pPr>
        <w:ind w:firstLine="567"/>
      </w:pPr>
      <w:r>
        <w:t>By</w:t>
      </w:r>
      <w:r w:rsidR="000F7396">
        <w:t xml:space="preserve"> contrast,</w:t>
      </w:r>
      <w:r>
        <w:t xml:space="preserve"> the level of reflection that engenders </w:t>
      </w:r>
      <w:r w:rsidR="000F7396">
        <w:t>excessive scepticism is neither useful nor agreeable.</w:t>
      </w:r>
      <w:r w:rsidR="00055519" w:rsidRPr="00055519">
        <w:rPr>
          <w:vertAlign w:val="superscript"/>
        </w:rPr>
        <w:footnoteReference w:id="46"/>
      </w:r>
      <w:r w:rsidR="000F7396">
        <w:t xml:space="preserve"> </w:t>
      </w:r>
      <w:r>
        <w:t>Such scepticism</w:t>
      </w:r>
      <w:r w:rsidR="000F7396">
        <w:t xml:space="preserve"> </w:t>
      </w:r>
      <w:r w:rsidR="00055519">
        <w:t>certainly</w:t>
      </w:r>
      <w:r w:rsidR="000F7396">
        <w:t xml:space="preserve"> detrimental</w:t>
      </w:r>
      <w:r w:rsidR="003E72EF">
        <w:t xml:space="preserve"> to oneself</w:t>
      </w:r>
      <w:r w:rsidR="000F7396">
        <w:t xml:space="preserve">: Hume takes it to be </w:t>
      </w:r>
      <w:r w:rsidR="000F7396">
        <w:lastRenderedPageBreak/>
        <w:t xml:space="preserve">‘dangerous, and attended with the most fatal consequences’ (THN 1.4.7.7). </w:t>
      </w:r>
      <w:r w:rsidR="003E72EF">
        <w:t>It is also detrimental to others; Hume points out</w:t>
      </w:r>
      <w:r w:rsidR="000F7396">
        <w:t xml:space="preserve"> that to ‘torture’ one’s brain does not ‘</w:t>
      </w:r>
      <w:r w:rsidR="000F7396" w:rsidRPr="000F7396">
        <w:t>serve either for the service of mankind,</w:t>
      </w:r>
      <w:r w:rsidR="000F7396">
        <w:t xml:space="preserve"> or for my own private interest’, and is an ‘abuse of time’ (THN 1.4.7.10). </w:t>
      </w:r>
      <w:r w:rsidR="009565BE">
        <w:t>It is also</w:t>
      </w:r>
      <w:r w:rsidR="009A5C99">
        <w:t xml:space="preserve"> disagreeable to myself: Hume’s somewhat hyperbolic description of the ‘melancholy and delirium’ (THN 1.4.7.9) engendered by sceptical worries makes that clear enough. </w:t>
      </w:r>
      <w:r w:rsidR="003E72EF">
        <w:t>Moreover, it is</w:t>
      </w:r>
      <w:r w:rsidR="000F7396">
        <w:t xml:space="preserve"> disagreeable to others: when beset by scepticism, Hume notes that ‘</w:t>
      </w:r>
      <w:r w:rsidR="000F7396" w:rsidRPr="000F7396">
        <w:t>Every one keeps at a distance, and dreads that storm, whic</w:t>
      </w:r>
      <w:r w:rsidR="000F7396">
        <w:t xml:space="preserve">h beats upon me from every side’ (THN 1.4.7.2). </w:t>
      </w:r>
      <w:r w:rsidR="009A5C99">
        <w:t xml:space="preserve">Since the </w:t>
      </w:r>
      <w:r w:rsidR="009222CA">
        <w:t>extreme</w:t>
      </w:r>
      <w:r w:rsidR="009A5C99">
        <w:t xml:space="preserve"> level of reflection that leads to excessive scepticism is not required as a duty, nor it is good beyond the bounds of duty, we have every reason to reject it.</w:t>
      </w:r>
    </w:p>
    <w:p w:rsidR="009A5C99" w:rsidRDefault="009A5C99" w:rsidP="00055519">
      <w:pPr>
        <w:ind w:firstLine="567"/>
      </w:pPr>
      <w:r>
        <w:t>Similarly</w:t>
      </w:r>
      <w:r w:rsidR="009222CA">
        <w:t>,</w:t>
      </w:r>
      <w:r>
        <w:t xml:space="preserve"> Hume dismisses</w:t>
      </w:r>
      <w:r w:rsidR="009222CA">
        <w:t xml:space="preserve"> superstition</w:t>
      </w:r>
      <w:r>
        <w:t xml:space="preserve"> precisely on the</w:t>
      </w:r>
      <w:r w:rsidR="009222CA">
        <w:t xml:space="preserve"> grounds of the danger it poses. He notes that he prefers philosophy to superstition on the basis that it is ‘safest a</w:t>
      </w:r>
      <w:r w:rsidR="00D14F6A">
        <w:t>nd most agreeable’; he also remark</w:t>
      </w:r>
      <w:r w:rsidR="009222CA">
        <w:t xml:space="preserve">s that ‘the errors in religion are dangerous; those in philosophy only ridiculous’ (THN 1.4.7.13). </w:t>
      </w:r>
      <w:r>
        <w:t xml:space="preserve">Hume’s discussion of the monkish virtues </w:t>
      </w:r>
      <w:r w:rsidR="00917123">
        <w:t>likewise</w:t>
      </w:r>
      <w:r>
        <w:t xml:space="preserve"> emphasises that superstition is moreover disagreeable to the self and others</w:t>
      </w:r>
      <w:r w:rsidR="009222CA">
        <w:t xml:space="preserve">; </w:t>
      </w:r>
      <w:r w:rsidR="003E72EF">
        <w:t>such qualities</w:t>
      </w:r>
      <w:r w:rsidR="009222CA">
        <w:t xml:space="preserve"> ‘neither qualify him for the entertainment of company, nor encrease his power of self-enjoyment’ (EPM 9.3). </w:t>
      </w:r>
      <w:r w:rsidR="003E72EF">
        <w:t>The monkish virtues</w:t>
      </w:r>
      <w:r w:rsidR="009222CA">
        <w:t xml:space="preserve"> also lack usefulness, since they do not render the possessor ‘a more valuable member of society’ (</w:t>
      </w:r>
      <w:r w:rsidR="009222CA">
        <w:rPr>
          <w:i/>
        </w:rPr>
        <w:t>ibid</w:t>
      </w:r>
      <w:r w:rsidR="009222CA">
        <w:t xml:space="preserve">.). </w:t>
      </w:r>
      <w:r>
        <w:t xml:space="preserve">Again, given that superstition involves a level of reflection beyond ‘that narrow circle of objects, which are the subject of daily conversation and action’ (THN 1.4.7.13), it is not required of us as a duty; given further that </w:t>
      </w:r>
      <w:r w:rsidR="0050160B">
        <w:t xml:space="preserve">such a level of reflection </w:t>
      </w:r>
      <w:r>
        <w:t>it is neither useful nor agreeable, we have no reason to endorse</w:t>
      </w:r>
      <w:r w:rsidR="0050160B">
        <w:t xml:space="preserve"> it</w:t>
      </w:r>
      <w:r>
        <w:t>.</w:t>
      </w:r>
      <w:r w:rsidR="005F3FF2">
        <w:rPr>
          <w:rStyle w:val="FootnoteReference"/>
        </w:rPr>
        <w:footnoteReference w:id="47"/>
      </w:r>
    </w:p>
    <w:p w:rsidR="009A5C99" w:rsidRDefault="009D175D" w:rsidP="00055519">
      <w:pPr>
        <w:ind w:firstLine="567"/>
      </w:pPr>
      <w:r>
        <w:lastRenderedPageBreak/>
        <w:t>S</w:t>
      </w:r>
      <w:r w:rsidR="009A5C99">
        <w:t xml:space="preserve">uch an interpretation thus delivers all of Hume’s </w:t>
      </w:r>
      <w:r w:rsidR="00782195">
        <w:t>doxastic</w:t>
      </w:r>
      <w:r w:rsidR="009A5C99">
        <w:t xml:space="preserve"> aims</w:t>
      </w:r>
      <w:r w:rsidR="00782195">
        <w:t xml:space="preserve"> in THN 1.4.7</w:t>
      </w:r>
      <w:r w:rsidR="009A5C99">
        <w:t>. It</w:t>
      </w:r>
      <w:r w:rsidR="00A36CBE">
        <w:t xml:space="preserve"> dismisses</w:t>
      </w:r>
      <w:r w:rsidR="009A5C99">
        <w:t xml:space="preserve"> </w:t>
      </w:r>
      <w:r w:rsidR="0096050A">
        <w:t>credulity</w:t>
      </w:r>
      <w:r w:rsidR="009A5C99">
        <w:t>, superstition, and excessive scepticism, while</w:t>
      </w:r>
      <w:r w:rsidR="0096050A">
        <w:t xml:space="preserve"> requiring a minimal level of reflection in common life as well as</w:t>
      </w:r>
      <w:r w:rsidR="009A5C99">
        <w:t xml:space="preserve"> endorsing science and philosophy.</w:t>
      </w:r>
      <w:r w:rsidR="00103739">
        <w:t xml:space="preserve"> Hume can now continue his voyage into Book 2 with a clear conscience and easy heart.</w:t>
      </w:r>
    </w:p>
    <w:p w:rsidR="00664B9B" w:rsidRDefault="00D1541E" w:rsidP="00615D35">
      <w:pPr>
        <w:pStyle w:val="Heading2"/>
        <w:numPr>
          <w:ilvl w:val="0"/>
          <w:numId w:val="1"/>
        </w:numPr>
      </w:pPr>
      <w:r>
        <w:t xml:space="preserve">The </w:t>
      </w:r>
      <w:r w:rsidR="00222659">
        <w:t>Epistemic and the Ethical</w:t>
      </w:r>
    </w:p>
    <w:p w:rsidR="008D2F15" w:rsidRPr="008D2F15" w:rsidRDefault="008D2F15" w:rsidP="008D2F15">
      <w:r w:rsidRPr="008D2F15">
        <w:t xml:space="preserve">In sum, there is a powerful argument to be made that there is a level of description of THN 1.4.7 that </w:t>
      </w:r>
      <w:r w:rsidR="007A1E6C">
        <w:t>takes on</w:t>
      </w:r>
      <w:r w:rsidRPr="008D2F15">
        <w:t xml:space="preserve"> a deontic structure, as described above. This makes sense not only of the texts within THN 1.4.7, but </w:t>
      </w:r>
      <w:r w:rsidR="00E27735">
        <w:t>also without</w:t>
      </w:r>
      <w:r w:rsidRPr="008D2F15">
        <w:t>, particularly the distinctly deontic genesis of the sceptical horn in THN 1.4.1, as well as the basis for the credulity horn in Hume’s discussion of the first and second influence of general rules in THN 1.3.13.</w:t>
      </w:r>
      <w:r w:rsidR="00392A85">
        <w:t xml:space="preserve"> Generally, discussions of Hume’s response to scepticism tend to focus on Book 1 Part 4, and </w:t>
      </w:r>
      <w:r w:rsidR="006A3188">
        <w:t>can consequently neglect to take account of Hume’s epistemology in Book 1 Part 3.</w:t>
      </w:r>
      <w:r w:rsidR="00A33423">
        <w:t xml:space="preserve"> </w:t>
      </w:r>
      <w:r w:rsidR="00392A85">
        <w:t>I take it that</w:t>
      </w:r>
      <w:r w:rsidR="00A33423">
        <w:t xml:space="preserve"> one of the </w:t>
      </w:r>
      <w:r w:rsidR="00392A85">
        <w:t xml:space="preserve">primary </w:t>
      </w:r>
      <w:r w:rsidR="00A33423">
        <w:t xml:space="preserve">strengths of the interpretation defended in this paper over many of its competitors is its ability to integrate Hume’s </w:t>
      </w:r>
      <w:r w:rsidR="004C4C11">
        <w:t xml:space="preserve">nascent </w:t>
      </w:r>
      <w:r w:rsidR="00A33423">
        <w:t>epistemology in Book 1 Part 3</w:t>
      </w:r>
      <w:r w:rsidR="00392A85">
        <w:t xml:space="preserve"> (in particular, the discussion of general rules)</w:t>
      </w:r>
      <w:r w:rsidR="00A33423">
        <w:t xml:space="preserve"> with the sceptical problem (and eventual solution) in Book 1 Part 4</w:t>
      </w:r>
      <w:r w:rsidR="00392A85">
        <w:t>.</w:t>
      </w:r>
      <w:r w:rsidR="004C4C11">
        <w:rPr>
          <w:rStyle w:val="FootnoteReference"/>
        </w:rPr>
        <w:footnoteReference w:id="48"/>
      </w:r>
    </w:p>
    <w:p w:rsidR="008D2F15" w:rsidRPr="008D2F15" w:rsidRDefault="008D2F15" w:rsidP="008D2F15">
      <w:pPr>
        <w:ind w:firstLine="720"/>
      </w:pPr>
      <w:r w:rsidRPr="008D2F15">
        <w:t>Nevertheless, such an account leaves it very much open what Hume’s epistemology looks like at the fundamental level, and I refrain from committing to any particular account in this paper.</w:t>
      </w:r>
      <w:r w:rsidRPr="008D2F15">
        <w:rPr>
          <w:vertAlign w:val="superscript"/>
        </w:rPr>
        <w:footnoteReference w:id="49"/>
      </w:r>
      <w:r w:rsidRPr="008D2F15">
        <w:t xml:space="preserve"> In short, one can accept that Hume’s framework in THN 1.4.7 involves the calibration of a deontic threshold and an account of the epistemically supererogatory, and still legitimately enquire regarding the normative grounds for these duties to reflect. </w:t>
      </w:r>
      <w:r w:rsidR="00D14F6A">
        <w:t>I think that any answer at this point will have a speculative element to it, but a</w:t>
      </w:r>
      <w:r w:rsidRPr="008D2F15">
        <w:t xml:space="preserve">t this point there are a wide </w:t>
      </w:r>
      <w:r w:rsidRPr="008D2F15">
        <w:lastRenderedPageBreak/>
        <w:t>variety of options left open.</w:t>
      </w:r>
      <w:r w:rsidRPr="008D2F15">
        <w:rPr>
          <w:vertAlign w:val="superscript"/>
        </w:rPr>
        <w:footnoteReference w:id="50"/>
      </w:r>
      <w:r w:rsidRPr="008D2F15">
        <w:t xml:space="preserve"> One could take these duties to reflect to be normatively basic. Alternatively, one might </w:t>
      </w:r>
      <w:r w:rsidR="00E27735">
        <w:t>relate these duties to</w:t>
      </w:r>
      <w:r w:rsidRPr="008D2F15">
        <w:t xml:space="preserve"> Hume’s claim regarding the moral sense acquiring new force when reflecting on itself (THN 3.3.6.3), as well as his claims about a mind being able to bear its own survey (THN 3.3.6.6).</w:t>
      </w:r>
      <w:r w:rsidRPr="008D2F15">
        <w:rPr>
          <w:vertAlign w:val="superscript"/>
        </w:rPr>
        <w:footnoteReference w:id="51"/>
      </w:r>
      <w:r w:rsidRPr="008D2F15">
        <w:t xml:space="preserve"> Perhaps one could account for these duties on externalist grounds, such as stability (e.g. Loeb 2002) or reliability (Schmitt 2014); another externalist option would be to offer a ‘proper function’-type account (in line with Craig 1987 and Wolterstorff 1996) and ground these duties in something like the proper functioning of our faculty of reason. Or one could alternatively ground these duties on the basis of truth or probable truth, in line with Garrett’s (2015) general project.</w:t>
      </w:r>
      <w:r w:rsidRPr="008D2F15">
        <w:rPr>
          <w:vertAlign w:val="superscript"/>
        </w:rPr>
        <w:footnoteReference w:id="52"/>
      </w:r>
      <w:r w:rsidRPr="008D2F15">
        <w:t xml:space="preserve"> One might offer a virtue-theoretic account (in line with Schafer 2014, although as noted earlier, Schafer’s framework also has strong connotations of a usefulness and agreeableness account), and perhaps take there to be duties to reflect because such reflection is what a wise person would do. Or perhaps one could base our duties to reflect on usefulness and agreeableness; perhaps the framework of THN 1.4.7 involves usefulness and agreeableness all the way down. In what remains of this paper, I will briefly discuss the last option.</w:t>
      </w:r>
    </w:p>
    <w:p w:rsidR="008D2F15" w:rsidRPr="008D2F15" w:rsidRDefault="008D2F15" w:rsidP="008D2F15">
      <w:pPr>
        <w:ind w:firstLine="720"/>
      </w:pPr>
      <w:r w:rsidRPr="008D2F15">
        <w:t xml:space="preserve">One </w:t>
      </w:r>
      <w:r w:rsidRPr="008D2F15">
        <w:rPr>
          <w:i/>
        </w:rPr>
        <w:t>prima facie</w:t>
      </w:r>
      <w:r w:rsidRPr="008D2F15">
        <w:t xml:space="preserve"> appeal to grounding our duties to reflect on usefulness and agreeableness is that it provides a pleasing unity to Hume’s epistemic framework in THN 1.4.7. However, I believe that this unity is not without cost.</w:t>
      </w:r>
      <w:r w:rsidRPr="008D2F15">
        <w:rPr>
          <w:vertAlign w:val="superscript"/>
        </w:rPr>
        <w:footnoteReference w:id="53"/>
      </w:r>
      <w:r w:rsidRPr="008D2F15">
        <w:t xml:space="preserve"> As</w:t>
      </w:r>
      <w:r w:rsidR="006A3188">
        <w:t xml:space="preserve"> I argue in my</w:t>
      </w:r>
      <w:r w:rsidRPr="008D2F15">
        <w:t xml:space="preserve"> Qu (2014)</w:t>
      </w:r>
      <w:r w:rsidR="006A3188">
        <w:t>,</w:t>
      </w:r>
      <w:r w:rsidRPr="008D2F15">
        <w:t xml:space="preserve"> the </w:t>
      </w:r>
      <w:r w:rsidRPr="008D2F15">
        <w:lastRenderedPageBreak/>
        <w:t>usefulness and agreeableness interpretation collapses moral and epistemic normativity, since moral normativity also turns on usefulness and agreeableness (EPM 9.1).</w:t>
      </w:r>
      <w:r w:rsidR="00B32307" w:rsidRPr="00B32307">
        <w:rPr>
          <w:vertAlign w:val="superscript"/>
        </w:rPr>
        <w:footnoteReference w:id="54"/>
      </w:r>
      <w:r w:rsidRPr="008D2F15">
        <w:t xml:space="preserve"> Of course, this is a distinction that Hume insists on, as seen in the following passage:</w:t>
      </w:r>
    </w:p>
    <w:p w:rsidR="008D2F15" w:rsidRPr="008D2F15" w:rsidRDefault="008D2F15" w:rsidP="008D2F15">
      <w:pPr>
        <w:pStyle w:val="HumeReference"/>
      </w:pPr>
      <w:r w:rsidRPr="008D2F15">
        <w:t>Actions may be laudable or blameable; but they cannot be reasonable or unreasonable: Laudable or blameable, therefore, are not the same with reasonable or unreasonable. (THN 3.1.1.10)</w:t>
      </w:r>
    </w:p>
    <w:p w:rsidR="00917123" w:rsidRDefault="008D2F15" w:rsidP="008D2F15">
      <w:r w:rsidRPr="008D2F15">
        <w:t xml:space="preserve">If, on the other hand, one refrains from grounding our duties to reflect on usefulness and agreeableness, then one seems able to avoid this problem. For what determines epistemic justification is not merely usefulness and agreeableness, but also our distinctly epistemic duties to reflect. Thus, while moral normativity is grounded on usefulness and agreeableness all the way down, the same would not be true of our epistemic duties. </w:t>
      </w:r>
    </w:p>
    <w:p w:rsidR="008D2F15" w:rsidRDefault="008D2F15" w:rsidP="00917123">
      <w:pPr>
        <w:ind w:firstLine="720"/>
      </w:pPr>
      <w:r w:rsidRPr="008D2F15">
        <w:t xml:space="preserve">Moreover, it seems that even Hume’s account of the epistemically supererogatory (which is founded on usefulness and agreeableness) can avoid being </w:t>
      </w:r>
      <w:r w:rsidR="00B32307">
        <w:t>merely practical</w:t>
      </w:r>
      <w:r w:rsidRPr="008D2F15">
        <w:t>.</w:t>
      </w:r>
      <w:r w:rsidR="00D14F6A">
        <w:rPr>
          <w:rStyle w:val="FootnoteReference"/>
        </w:rPr>
        <w:footnoteReference w:id="55"/>
      </w:r>
      <w:r w:rsidRPr="008D2F15">
        <w:t xml:space="preserve"> In general, supererogatory actions seem to have the same kind of normative worth as the duties they surpass;</w:t>
      </w:r>
      <w:r w:rsidR="002C03D4" w:rsidRPr="002C03D4">
        <w:rPr>
          <w:vertAlign w:val="superscript"/>
        </w:rPr>
        <w:footnoteReference w:id="56"/>
      </w:r>
      <w:r w:rsidRPr="008D2F15">
        <w:t xml:space="preserve"> for instance, my going beyond the bounds of a moral duty to care for my parents is also morally laudable. Thus, if keeping to a duty to reflect is epistemically laudable, then going beyond such a duty (in a laudable manner) seem as though it should be epistemically laudable as well. If this is the case, then there remains a clear distinction between moral and epistemic normativity both within and without the deontological threshold, and so there is little threat of collapsing the two.</w:t>
      </w:r>
    </w:p>
    <w:p w:rsidR="00004C9D" w:rsidRPr="008D2F15" w:rsidRDefault="00004C9D" w:rsidP="00004C9D">
      <w:pPr>
        <w:ind w:firstLine="720"/>
      </w:pPr>
      <w:r w:rsidRPr="00004C9D">
        <w:t xml:space="preserve">It might be objected that even if this is granted, this would nevertheless be to cut off Hume’s epistemology from considerations from truth, since false beliefs might be useful and agreeable, while true beliefs might be detrimental and disagreeable. </w:t>
      </w:r>
      <w:r w:rsidR="00EC25ED">
        <w:t>In response</w:t>
      </w:r>
      <w:r w:rsidRPr="00004C9D">
        <w:t>,</w:t>
      </w:r>
      <w:r w:rsidRPr="00004C9D">
        <w:rPr>
          <w:lang w:val="en-US"/>
        </w:rPr>
        <w:t xml:space="preserve"> an account </w:t>
      </w:r>
      <w:r w:rsidRPr="00004C9D">
        <w:rPr>
          <w:lang w:val="en-US"/>
        </w:rPr>
        <w:lastRenderedPageBreak/>
        <w:t xml:space="preserve">that evaluates beliefs or belief-forming dispositions can nevertheless have a correlation to truth, as </w:t>
      </w:r>
      <w:r w:rsidR="006A3188">
        <w:rPr>
          <w:lang w:val="en-US"/>
        </w:rPr>
        <w:t xml:space="preserve">I argue in my </w:t>
      </w:r>
      <w:r w:rsidR="00BA5922">
        <w:rPr>
          <w:lang w:val="en-US"/>
        </w:rPr>
        <w:t>Qu (2014, pp.518–</w:t>
      </w:r>
      <w:r w:rsidRPr="00004C9D">
        <w:rPr>
          <w:lang w:val="en-US"/>
        </w:rPr>
        <w:t>19). Both passions and beliefs are required for action. In evaluating the usefulness and agreeableness of passions</w:t>
      </w:r>
      <w:r w:rsidR="0049528F">
        <w:rPr>
          <w:lang w:val="en-US"/>
        </w:rPr>
        <w:t xml:space="preserve"> (or passion-forming dispositions)</w:t>
      </w:r>
      <w:r w:rsidRPr="00004C9D">
        <w:rPr>
          <w:lang w:val="en-US"/>
        </w:rPr>
        <w:t xml:space="preserve">, we hold fixed that we have ‘good’ beliefs: benevolence is taken to be useful and agreeable, because </w:t>
      </w:r>
      <w:r w:rsidRPr="00004C9D">
        <w:rPr>
          <w:i/>
          <w:lang w:val="en-US"/>
        </w:rPr>
        <w:t>given true beliefs</w:t>
      </w:r>
      <w:r w:rsidRPr="00004C9D">
        <w:rPr>
          <w:lang w:val="en-US"/>
        </w:rPr>
        <w:t>, it leads to useful and agreeable actions. If one instead had very poor beliefs about what actions helped others, a passion of benevolence could turn out very badly indeed. Conversely, in evaluating the usefulness and agreeableness of beliefs</w:t>
      </w:r>
      <w:r w:rsidR="0049528F">
        <w:rPr>
          <w:lang w:val="en-US"/>
        </w:rPr>
        <w:t xml:space="preserve"> (or belief-forming dispositions)</w:t>
      </w:r>
      <w:r w:rsidRPr="00004C9D">
        <w:rPr>
          <w:lang w:val="en-US"/>
        </w:rPr>
        <w:t xml:space="preserve">, we should hold fixed that we have ‘good’ passions. And assuming we have ‘good’ passions, the beliefs which tend to be useful and agreeable will be true ones. Deviancy is possible, </w:t>
      </w:r>
      <w:r w:rsidR="007A1E6C">
        <w:rPr>
          <w:lang w:val="en-US"/>
        </w:rPr>
        <w:t>but Hume has some leeway to accommodate such deviancy, in line with his claim</w:t>
      </w:r>
      <w:r w:rsidRPr="00004C9D">
        <w:rPr>
          <w:lang w:val="en-US"/>
        </w:rPr>
        <w:t xml:space="preserve"> that ‘virtue in rags is still virtue’ (THN 3.3.1.19). Thus, usefulness and agreeableness might be a moral consideration with respect to passions, but an epistemic one, relating to truth, with respect to beliefs. It is true that this is not as tight a connection as we typically take there to be between truth and epistemology, but it is a meaningful connection nonetheless.</w:t>
      </w:r>
    </w:p>
    <w:p w:rsidR="008D2F15" w:rsidRDefault="008D2F15" w:rsidP="008D2F15">
      <w:r w:rsidRPr="008D2F15">
        <w:tab/>
        <w:t>In any case, my paper does not need to take a stand on this complex and deep issue; it merely attempts to provide an epistemic framework founded on duties to reflect, independently of the normative grounding for such a framework. This is all that I think is needed to explain</w:t>
      </w:r>
      <w:r w:rsidR="00DC7775">
        <w:t>—</w:t>
      </w:r>
      <w:r w:rsidRPr="008D2F15">
        <w:t>and perhaps defend</w:t>
      </w:r>
      <w:r w:rsidR="00DC7775">
        <w:t>—</w:t>
      </w:r>
      <w:r w:rsidRPr="008D2F15">
        <w:t xml:space="preserve">Hume’s infamously convoluted </w:t>
      </w:r>
      <w:r w:rsidR="003A146E">
        <w:t>treatment of scepticism</w:t>
      </w:r>
      <w:r w:rsidRPr="008D2F15">
        <w:t xml:space="preserve"> in THN 1.4.7.</w:t>
      </w:r>
      <w:r w:rsidR="006A3188">
        <w:rPr>
          <w:rStyle w:val="FootnoteReference"/>
        </w:rPr>
        <w:footnoteReference w:id="57"/>
      </w:r>
    </w:p>
    <w:p w:rsidR="003A146E" w:rsidRPr="00DF7196" w:rsidRDefault="003A146E" w:rsidP="00546DCB">
      <w:pPr>
        <w:pBdr>
          <w:bottom w:val="single" w:sz="12" w:space="1" w:color="auto"/>
        </w:pBdr>
      </w:pPr>
    </w:p>
    <w:p w:rsidR="00902B16" w:rsidRDefault="00902B16" w:rsidP="00902B16">
      <w:pPr>
        <w:pStyle w:val="Heading2"/>
      </w:pPr>
      <w:r>
        <w:t>References</w:t>
      </w:r>
    </w:p>
    <w:p w:rsidR="00385866" w:rsidRPr="00385866" w:rsidRDefault="004421E9" w:rsidP="000308C2">
      <w:pPr>
        <w:spacing w:before="120" w:line="360" w:lineRule="auto"/>
        <w:ind w:left="720" w:hanging="720"/>
        <w:rPr>
          <w:szCs w:val="24"/>
        </w:rPr>
      </w:pPr>
      <w:r>
        <w:rPr>
          <w:szCs w:val="24"/>
        </w:rPr>
        <w:t>Ainslie, Donald, 2015,</w:t>
      </w:r>
      <w:r w:rsidR="00385866">
        <w:rPr>
          <w:szCs w:val="24"/>
        </w:rPr>
        <w:t xml:space="preserve"> </w:t>
      </w:r>
      <w:r w:rsidR="00385866">
        <w:rPr>
          <w:i/>
          <w:szCs w:val="24"/>
        </w:rPr>
        <w:t>Hume’s True Scepticism</w:t>
      </w:r>
      <w:r w:rsidR="00385866">
        <w:rPr>
          <w:szCs w:val="24"/>
        </w:rPr>
        <w:t xml:space="preserve">, </w:t>
      </w:r>
      <w:r>
        <w:rPr>
          <w:szCs w:val="24"/>
        </w:rPr>
        <w:t xml:space="preserve">Oxford: </w:t>
      </w:r>
      <w:r w:rsidR="00385866">
        <w:rPr>
          <w:szCs w:val="24"/>
        </w:rPr>
        <w:t>Oxford University Press.</w:t>
      </w:r>
    </w:p>
    <w:p w:rsidR="00C9193E" w:rsidRDefault="001A639F" w:rsidP="000308C2">
      <w:pPr>
        <w:spacing w:before="120" w:line="360" w:lineRule="auto"/>
        <w:ind w:left="720" w:hanging="720"/>
        <w:rPr>
          <w:szCs w:val="24"/>
        </w:rPr>
      </w:pPr>
      <w:r>
        <w:rPr>
          <w:szCs w:val="24"/>
        </w:rPr>
        <w:lastRenderedPageBreak/>
        <w:t xml:space="preserve">Ardal, Pall, 1976, </w:t>
      </w:r>
      <w:r w:rsidR="00C9193E" w:rsidRPr="00C9193E">
        <w:rPr>
          <w:szCs w:val="24"/>
        </w:rPr>
        <w:t xml:space="preserve">“Some Implications of the Virtue of Reasonableness in Hume’s </w:t>
      </w:r>
      <w:r w:rsidR="00C9193E" w:rsidRPr="009222CA">
        <w:rPr>
          <w:i/>
          <w:szCs w:val="24"/>
        </w:rPr>
        <w:t>Treatise</w:t>
      </w:r>
      <w:r w:rsidR="00C9193E" w:rsidRPr="00C9193E">
        <w:rPr>
          <w:szCs w:val="24"/>
        </w:rPr>
        <w:t>”</w:t>
      </w:r>
      <w:r w:rsidR="00C9193E" w:rsidRPr="00C9193E">
        <w:rPr>
          <w:i/>
          <w:szCs w:val="24"/>
        </w:rPr>
        <w:t xml:space="preserve">, </w:t>
      </w:r>
      <w:r w:rsidR="00C9193E" w:rsidRPr="00C9193E">
        <w:rPr>
          <w:szCs w:val="24"/>
        </w:rPr>
        <w:t xml:space="preserve">in Livingston, Donald, and King, James (eds.), </w:t>
      </w:r>
      <w:r w:rsidR="00C9193E" w:rsidRPr="00C9193E">
        <w:rPr>
          <w:i/>
          <w:szCs w:val="24"/>
        </w:rPr>
        <w:t>Hume: A Re-evaluation</w:t>
      </w:r>
      <w:r w:rsidR="00C9193E" w:rsidRPr="00C9193E">
        <w:rPr>
          <w:szCs w:val="24"/>
        </w:rPr>
        <w:t>, Fordham University Press.</w:t>
      </w:r>
    </w:p>
    <w:p w:rsidR="00677061" w:rsidRDefault="00677061" w:rsidP="000308C2">
      <w:pPr>
        <w:spacing w:before="120" w:line="360" w:lineRule="auto"/>
        <w:ind w:left="720" w:hanging="720"/>
        <w:rPr>
          <w:szCs w:val="24"/>
        </w:rPr>
      </w:pPr>
      <w:r>
        <w:rPr>
          <w:szCs w:val="24"/>
        </w:rPr>
        <w:t xml:space="preserve">Baceski, Tina, 2013, “Hume on Art Critics, Wise Men, and the Virtues of Taste”, </w:t>
      </w:r>
      <w:r w:rsidRPr="00677061">
        <w:rPr>
          <w:i/>
          <w:szCs w:val="24"/>
        </w:rPr>
        <w:t>Hume Studies</w:t>
      </w:r>
      <w:r w:rsidRPr="00677061">
        <w:rPr>
          <w:szCs w:val="24"/>
        </w:rPr>
        <w:t xml:space="preserve"> 39</w:t>
      </w:r>
      <w:r w:rsidR="00F72D96">
        <w:rPr>
          <w:szCs w:val="24"/>
        </w:rPr>
        <w:t>(</w:t>
      </w:r>
      <w:r w:rsidRPr="00677061">
        <w:rPr>
          <w:szCs w:val="24"/>
        </w:rPr>
        <w:t>2</w:t>
      </w:r>
      <w:r w:rsidR="00F72D96">
        <w:rPr>
          <w:szCs w:val="24"/>
        </w:rPr>
        <w:t>)</w:t>
      </w:r>
      <w:r>
        <w:rPr>
          <w:szCs w:val="24"/>
        </w:rPr>
        <w:t>: 233–256.</w:t>
      </w:r>
    </w:p>
    <w:p w:rsidR="00004C9D" w:rsidRDefault="00004C9D" w:rsidP="000308C2">
      <w:pPr>
        <w:spacing w:before="120" w:line="360" w:lineRule="auto"/>
        <w:ind w:left="720" w:hanging="720"/>
        <w:rPr>
          <w:szCs w:val="24"/>
        </w:rPr>
      </w:pPr>
      <w:r>
        <w:rPr>
          <w:szCs w:val="24"/>
        </w:rPr>
        <w:t>Baier</w:t>
      </w:r>
      <w:r w:rsidR="004421E9">
        <w:rPr>
          <w:szCs w:val="24"/>
        </w:rPr>
        <w:t>, Annette,</w:t>
      </w:r>
      <w:r>
        <w:rPr>
          <w:szCs w:val="24"/>
        </w:rPr>
        <w:t xml:space="preserve"> 1991</w:t>
      </w:r>
      <w:r w:rsidR="004421E9">
        <w:rPr>
          <w:szCs w:val="24"/>
        </w:rPr>
        <w:t xml:space="preserve">, </w:t>
      </w:r>
      <w:r w:rsidR="004421E9">
        <w:rPr>
          <w:i/>
          <w:szCs w:val="24"/>
        </w:rPr>
        <w:t xml:space="preserve">A Progress of Sentiments: Reflections on Hume’s </w:t>
      </w:r>
      <w:r w:rsidR="004421E9">
        <w:rPr>
          <w:szCs w:val="24"/>
        </w:rPr>
        <w:t>Treatise, Cambridge: Harvard University Press,</w:t>
      </w:r>
    </w:p>
    <w:p w:rsidR="00F72D96" w:rsidRPr="00F72D96" w:rsidRDefault="00F72D96" w:rsidP="000308C2">
      <w:pPr>
        <w:spacing w:before="120" w:line="360" w:lineRule="auto"/>
        <w:ind w:left="720" w:hanging="720"/>
        <w:rPr>
          <w:szCs w:val="24"/>
        </w:rPr>
      </w:pPr>
      <w:r>
        <w:rPr>
          <w:szCs w:val="24"/>
        </w:rPr>
        <w:t xml:space="preserve">Boehm, Miriam, 2013, “Hume’s Foundational Project in the </w:t>
      </w:r>
      <w:r>
        <w:rPr>
          <w:i/>
          <w:szCs w:val="24"/>
        </w:rPr>
        <w:t>Treatise</w:t>
      </w:r>
      <w:r>
        <w:rPr>
          <w:szCs w:val="24"/>
        </w:rPr>
        <w:t xml:space="preserve">”, </w:t>
      </w:r>
      <w:r>
        <w:rPr>
          <w:i/>
          <w:szCs w:val="24"/>
        </w:rPr>
        <w:t>European Journal of Philosophy</w:t>
      </w:r>
      <w:r>
        <w:rPr>
          <w:szCs w:val="24"/>
        </w:rPr>
        <w:t xml:space="preserve"> 24(1): 55–77.</w:t>
      </w:r>
    </w:p>
    <w:p w:rsidR="005E3E8D" w:rsidRPr="005E3E8D" w:rsidRDefault="005E3E8D" w:rsidP="000308C2">
      <w:pPr>
        <w:spacing w:before="120" w:line="360" w:lineRule="auto"/>
        <w:ind w:left="720" w:hanging="720"/>
        <w:rPr>
          <w:szCs w:val="24"/>
        </w:rPr>
      </w:pPr>
      <w:r>
        <w:rPr>
          <w:szCs w:val="24"/>
        </w:rPr>
        <w:t xml:space="preserve">Bernstein, Mark, 1986, “Moral and Epistemic Saints”, </w:t>
      </w:r>
      <w:r>
        <w:rPr>
          <w:i/>
          <w:szCs w:val="24"/>
        </w:rPr>
        <w:t>Metaphilosophy</w:t>
      </w:r>
      <w:r>
        <w:rPr>
          <w:szCs w:val="24"/>
        </w:rPr>
        <w:t xml:space="preserve"> 17(2&amp;3):102</w:t>
      </w:r>
      <w:r w:rsidR="00A34417" w:rsidRPr="00A34417">
        <w:rPr>
          <w:szCs w:val="24"/>
        </w:rPr>
        <w:t>–</w:t>
      </w:r>
      <w:r>
        <w:rPr>
          <w:szCs w:val="24"/>
        </w:rPr>
        <w:t>108.</w:t>
      </w:r>
    </w:p>
    <w:p w:rsidR="00FB26E3" w:rsidRPr="00FB26E3" w:rsidRDefault="00FB26E3" w:rsidP="000308C2">
      <w:pPr>
        <w:spacing w:before="120" w:line="360" w:lineRule="auto"/>
        <w:ind w:left="720" w:hanging="720"/>
        <w:rPr>
          <w:szCs w:val="24"/>
        </w:rPr>
      </w:pPr>
      <w:r>
        <w:rPr>
          <w:szCs w:val="24"/>
        </w:rPr>
        <w:t>Boyle, Deborah, 2012</w:t>
      </w:r>
      <w:r w:rsidR="005E3E8D">
        <w:rPr>
          <w:szCs w:val="24"/>
        </w:rPr>
        <w:t>,</w:t>
      </w:r>
      <w:r>
        <w:rPr>
          <w:szCs w:val="24"/>
        </w:rPr>
        <w:t xml:space="preserve"> “The Ways of the Wise: Hume’s Rules of Causal Reasoning”, </w:t>
      </w:r>
      <w:r>
        <w:rPr>
          <w:i/>
          <w:szCs w:val="24"/>
        </w:rPr>
        <w:t>Hume Studies</w:t>
      </w:r>
      <w:r>
        <w:rPr>
          <w:szCs w:val="24"/>
        </w:rPr>
        <w:t xml:space="preserve"> 38:2, 157</w:t>
      </w:r>
      <w:r w:rsidR="00A34417" w:rsidRPr="00A34417">
        <w:rPr>
          <w:szCs w:val="24"/>
        </w:rPr>
        <w:t>–</w:t>
      </w:r>
      <w:r>
        <w:rPr>
          <w:szCs w:val="24"/>
        </w:rPr>
        <w:t>182.</w:t>
      </w:r>
    </w:p>
    <w:p w:rsidR="00D90C7A" w:rsidRDefault="00D90C7A" w:rsidP="000308C2">
      <w:pPr>
        <w:spacing w:before="120" w:line="360" w:lineRule="auto"/>
        <w:ind w:left="720" w:hanging="720"/>
        <w:rPr>
          <w:szCs w:val="24"/>
        </w:rPr>
      </w:pPr>
      <w:r>
        <w:rPr>
          <w:szCs w:val="24"/>
        </w:rPr>
        <w:t xml:space="preserve">Boehm, Miren, 2013, “The Normativity of Experience and Causal Belief in Hume’s </w:t>
      </w:r>
      <w:r>
        <w:rPr>
          <w:i/>
          <w:szCs w:val="24"/>
        </w:rPr>
        <w:t>Treatise</w:t>
      </w:r>
      <w:r>
        <w:rPr>
          <w:szCs w:val="24"/>
        </w:rPr>
        <w:t xml:space="preserve">”, </w:t>
      </w:r>
      <w:r>
        <w:rPr>
          <w:i/>
          <w:szCs w:val="24"/>
        </w:rPr>
        <w:t>Hume Studies</w:t>
      </w:r>
      <w:r>
        <w:rPr>
          <w:szCs w:val="24"/>
        </w:rPr>
        <w:t xml:space="preserve"> 39.2: 203</w:t>
      </w:r>
      <w:r w:rsidRPr="00D90C7A">
        <w:rPr>
          <w:szCs w:val="24"/>
        </w:rPr>
        <w:t>–</w:t>
      </w:r>
      <w:r>
        <w:rPr>
          <w:szCs w:val="24"/>
        </w:rPr>
        <w:t>231.</w:t>
      </w:r>
    </w:p>
    <w:p w:rsidR="006D6A3E" w:rsidRPr="00D90C7A" w:rsidRDefault="004421E9" w:rsidP="000308C2">
      <w:pPr>
        <w:spacing w:before="120" w:line="360" w:lineRule="auto"/>
        <w:ind w:left="720" w:hanging="720"/>
        <w:rPr>
          <w:szCs w:val="24"/>
        </w:rPr>
      </w:pPr>
      <w:r>
        <w:rPr>
          <w:szCs w:val="24"/>
        </w:rPr>
        <w:t>Broughton, Janet, 2004,</w:t>
      </w:r>
      <w:r w:rsidR="006D6A3E">
        <w:rPr>
          <w:szCs w:val="24"/>
        </w:rPr>
        <w:t xml:space="preserve"> </w:t>
      </w:r>
      <w:r w:rsidR="006D6A3E" w:rsidRPr="006D6A3E">
        <w:rPr>
          <w:szCs w:val="24"/>
        </w:rPr>
        <w:t xml:space="preserve">“The Inquiry in Hume's </w:t>
      </w:r>
      <w:r w:rsidR="006D6A3E" w:rsidRPr="00006B85">
        <w:rPr>
          <w:i/>
          <w:szCs w:val="24"/>
        </w:rPr>
        <w:t>Treatise</w:t>
      </w:r>
      <w:r w:rsidR="006D6A3E" w:rsidRPr="006D6A3E">
        <w:rPr>
          <w:szCs w:val="24"/>
        </w:rPr>
        <w:t>,</w:t>
      </w:r>
      <w:r w:rsidR="006D6A3E">
        <w:rPr>
          <w:szCs w:val="24"/>
        </w:rPr>
        <w:t xml:space="preserve">” </w:t>
      </w:r>
      <w:r w:rsidR="006D6A3E" w:rsidRPr="008D43B8">
        <w:rPr>
          <w:i/>
          <w:szCs w:val="24"/>
        </w:rPr>
        <w:t>The Philosophical Review</w:t>
      </w:r>
      <w:r w:rsidR="006D6A3E">
        <w:rPr>
          <w:szCs w:val="24"/>
        </w:rPr>
        <w:t xml:space="preserve"> 113.4</w:t>
      </w:r>
      <w:r w:rsidR="006D6A3E" w:rsidRPr="006D6A3E">
        <w:rPr>
          <w:szCs w:val="24"/>
        </w:rPr>
        <w:t xml:space="preserve"> 537</w:t>
      </w:r>
      <w:r w:rsidR="00BA5922">
        <w:rPr>
          <w:szCs w:val="24"/>
        </w:rPr>
        <w:t>–</w:t>
      </w:r>
      <w:r w:rsidR="006D6A3E" w:rsidRPr="006D6A3E">
        <w:rPr>
          <w:szCs w:val="24"/>
        </w:rPr>
        <w:t>556</w:t>
      </w:r>
      <w:r w:rsidR="006D6A3E">
        <w:rPr>
          <w:szCs w:val="24"/>
        </w:rPr>
        <w:t>.</w:t>
      </w:r>
    </w:p>
    <w:p w:rsidR="00E167AB" w:rsidRDefault="000308C2" w:rsidP="000308C2">
      <w:pPr>
        <w:spacing w:before="120" w:line="360" w:lineRule="auto"/>
        <w:ind w:left="720" w:hanging="720"/>
      </w:pPr>
      <w:r w:rsidRPr="000308C2">
        <w:t>Chisholm, R., 1963</w:t>
      </w:r>
      <w:r w:rsidR="001A639F">
        <w:t>,</w:t>
      </w:r>
      <w:r w:rsidRPr="000308C2">
        <w:t xml:space="preserve"> “Supererogation and Offence: A Conceptual Scheme for Ethics”, </w:t>
      </w:r>
      <w:r w:rsidRPr="00BC23CF">
        <w:rPr>
          <w:i/>
        </w:rPr>
        <w:t>Ratio</w:t>
      </w:r>
      <w:r w:rsidRPr="000308C2">
        <w:t>, 5: 1–14.</w:t>
      </w:r>
    </w:p>
    <w:p w:rsidR="00337E5E" w:rsidRDefault="004421E9" w:rsidP="000308C2">
      <w:pPr>
        <w:spacing w:before="120" w:line="360" w:lineRule="auto"/>
        <w:ind w:left="720" w:hanging="720"/>
      </w:pPr>
      <w:r>
        <w:t>Collier, Mark, 2008,</w:t>
      </w:r>
      <w:r w:rsidR="00337E5E">
        <w:t xml:space="preserve"> “Two Puzzles in Hume’s Epistemology”,</w:t>
      </w:r>
      <w:r w:rsidR="00337E5E">
        <w:rPr>
          <w:i/>
        </w:rPr>
        <w:t xml:space="preserve"> History of Philosophy Quarterly</w:t>
      </w:r>
      <w:r w:rsidR="00337E5E">
        <w:t xml:space="preserve"> 25.4: 301–314.</w:t>
      </w:r>
    </w:p>
    <w:p w:rsidR="00F72D96" w:rsidRPr="00F72D96" w:rsidRDefault="00F72D96" w:rsidP="000308C2">
      <w:pPr>
        <w:spacing w:before="120" w:line="360" w:lineRule="auto"/>
        <w:ind w:left="720" w:hanging="720"/>
      </w:pPr>
      <w:r>
        <w:t>Cummins, P.D., 1999, “Hume’s Diffident Skepticism”,</w:t>
      </w:r>
      <w:r>
        <w:rPr>
          <w:i/>
        </w:rPr>
        <w:t xml:space="preserve"> Hume Studies</w:t>
      </w:r>
      <w:r>
        <w:t xml:space="preserve"> 35(1&amp;2): 43–66.</w:t>
      </w:r>
    </w:p>
    <w:p w:rsidR="00004C9D" w:rsidRPr="004421E9" w:rsidRDefault="00004C9D" w:rsidP="000308C2">
      <w:pPr>
        <w:spacing w:before="120" w:line="360" w:lineRule="auto"/>
        <w:ind w:left="720" w:hanging="720"/>
      </w:pPr>
      <w:r>
        <w:t>Craig</w:t>
      </w:r>
      <w:r w:rsidR="004421E9">
        <w:t>, Edward,</w:t>
      </w:r>
      <w:r>
        <w:t xml:space="preserve"> 1987</w:t>
      </w:r>
      <w:r w:rsidR="004421E9">
        <w:t xml:space="preserve">, </w:t>
      </w:r>
      <w:r w:rsidR="004421E9">
        <w:rPr>
          <w:i/>
        </w:rPr>
        <w:t>The Mind of God and the Works of Man</w:t>
      </w:r>
      <w:r w:rsidR="004421E9">
        <w:t>, Oxford: Clarendon Press.</w:t>
      </w:r>
    </w:p>
    <w:p w:rsidR="00BC23CF" w:rsidRDefault="000308C2" w:rsidP="000308C2">
      <w:pPr>
        <w:spacing w:before="120" w:line="360" w:lineRule="auto"/>
        <w:ind w:left="720" w:hanging="720"/>
      </w:pPr>
      <w:r w:rsidRPr="000308C2">
        <w:t>Dancy, J., 1988, “Supererogation and Moral Realism”, in</w:t>
      </w:r>
      <w:r w:rsidR="00BC23CF">
        <w:t xml:space="preserve"> Dancy, J., Moravcsik, J., and Taylor, C. (eds.),</w:t>
      </w:r>
      <w:r w:rsidRPr="000308C2">
        <w:t xml:space="preserve"> </w:t>
      </w:r>
      <w:r w:rsidRPr="00BC23CF">
        <w:rPr>
          <w:i/>
        </w:rPr>
        <w:t>Human Agency</w:t>
      </w:r>
      <w:r w:rsidRPr="000308C2">
        <w:t>, Stanford: Stanford University Press.</w:t>
      </w:r>
    </w:p>
    <w:p w:rsidR="00202677" w:rsidRDefault="004421E9" w:rsidP="000308C2">
      <w:pPr>
        <w:spacing w:before="120" w:line="360" w:lineRule="auto"/>
        <w:ind w:left="720" w:hanging="720"/>
      </w:pPr>
      <w:r>
        <w:t>Darwall, S., 1993,</w:t>
      </w:r>
      <w:r w:rsidR="00202677">
        <w:t xml:space="preserve"> “Motive and Obligation in Hume’s Ethics”, </w:t>
      </w:r>
      <w:r w:rsidR="00202677">
        <w:rPr>
          <w:i/>
        </w:rPr>
        <w:t>Nous</w:t>
      </w:r>
      <w:r w:rsidR="005E3E8D">
        <w:t xml:space="preserve"> 27(</w:t>
      </w:r>
      <w:r w:rsidR="00202677">
        <w:t>4</w:t>
      </w:r>
      <w:r w:rsidR="005E3E8D">
        <w:t>)</w:t>
      </w:r>
      <w:r w:rsidR="00202677">
        <w:t>:415</w:t>
      </w:r>
      <w:r w:rsidR="00A34417" w:rsidRPr="00A34417">
        <w:t>–</w:t>
      </w:r>
      <w:r w:rsidR="00202677">
        <w:t>448.</w:t>
      </w:r>
    </w:p>
    <w:p w:rsidR="00DA7D7F" w:rsidRPr="00DA7D7F" w:rsidRDefault="00DA7D7F" w:rsidP="000308C2">
      <w:pPr>
        <w:spacing w:before="120" w:line="360" w:lineRule="auto"/>
        <w:ind w:left="720" w:hanging="720"/>
      </w:pPr>
      <w:r>
        <w:t xml:space="preserve">Durland, L., 2011, “Extreme Skepticism and Commitment in the </w:t>
      </w:r>
      <w:r>
        <w:rPr>
          <w:i/>
        </w:rPr>
        <w:t>Treatise</w:t>
      </w:r>
      <w:r>
        <w:t xml:space="preserve">”, </w:t>
      </w:r>
      <w:r>
        <w:rPr>
          <w:i/>
        </w:rPr>
        <w:t xml:space="preserve">Hume Studies </w:t>
      </w:r>
      <w:r>
        <w:t>37.1:65–98.</w:t>
      </w:r>
    </w:p>
    <w:p w:rsidR="005E1A82" w:rsidRDefault="004421E9" w:rsidP="005E1A82">
      <w:pPr>
        <w:spacing w:before="120" w:line="360" w:lineRule="auto"/>
        <w:ind w:left="720" w:hanging="720"/>
        <w:rPr>
          <w:szCs w:val="24"/>
        </w:rPr>
      </w:pPr>
      <w:r>
        <w:rPr>
          <w:szCs w:val="24"/>
        </w:rPr>
        <w:t>Falk, W.D., 1976,</w:t>
      </w:r>
      <w:r w:rsidR="005E1A82" w:rsidRPr="005E1A82">
        <w:rPr>
          <w:szCs w:val="24"/>
        </w:rPr>
        <w:t xml:space="preserve"> </w:t>
      </w:r>
      <w:r w:rsidR="00F72D96">
        <w:rPr>
          <w:szCs w:val="24"/>
        </w:rPr>
        <w:t>“</w:t>
      </w:r>
      <w:r w:rsidR="005E1A82" w:rsidRPr="005E1A82">
        <w:rPr>
          <w:szCs w:val="24"/>
        </w:rPr>
        <w:t>Hume on Is and Ought</w:t>
      </w:r>
      <w:r w:rsidR="00F72D96">
        <w:rPr>
          <w:szCs w:val="24"/>
        </w:rPr>
        <w:t>”,</w:t>
      </w:r>
      <w:r w:rsidR="005E1A82" w:rsidRPr="005E1A82">
        <w:rPr>
          <w:szCs w:val="24"/>
        </w:rPr>
        <w:t xml:space="preserve"> </w:t>
      </w:r>
      <w:r w:rsidR="005E1A82" w:rsidRPr="005E1A82">
        <w:rPr>
          <w:i/>
          <w:szCs w:val="24"/>
        </w:rPr>
        <w:t>Canadian Journal of Philosophy</w:t>
      </w:r>
      <w:r w:rsidR="005E1A82" w:rsidRPr="005E1A82">
        <w:rPr>
          <w:szCs w:val="24"/>
        </w:rPr>
        <w:t xml:space="preserve"> 6(3): 359</w:t>
      </w:r>
      <w:r w:rsidR="00A34417" w:rsidRPr="00A34417">
        <w:rPr>
          <w:szCs w:val="24"/>
        </w:rPr>
        <w:t>–</w:t>
      </w:r>
      <w:r w:rsidR="005E1A82" w:rsidRPr="005E1A82">
        <w:rPr>
          <w:szCs w:val="24"/>
        </w:rPr>
        <w:t>378.</w:t>
      </w:r>
    </w:p>
    <w:p w:rsidR="00C9193E" w:rsidRPr="00C9193E" w:rsidRDefault="00C9193E" w:rsidP="000308C2">
      <w:pPr>
        <w:spacing w:before="120" w:line="360" w:lineRule="auto"/>
        <w:ind w:left="720" w:hanging="720"/>
        <w:rPr>
          <w:szCs w:val="24"/>
        </w:rPr>
      </w:pPr>
      <w:r w:rsidRPr="00C9193E">
        <w:rPr>
          <w:szCs w:val="24"/>
        </w:rPr>
        <w:lastRenderedPageBreak/>
        <w:t>Falkenstein, Lorne</w:t>
      </w:r>
      <w:r w:rsidR="004421E9">
        <w:rPr>
          <w:szCs w:val="24"/>
        </w:rPr>
        <w:t>, 1997,</w:t>
      </w:r>
      <w:r w:rsidR="00F72D96">
        <w:rPr>
          <w:szCs w:val="24"/>
        </w:rPr>
        <w:t xml:space="preserve"> “</w:t>
      </w:r>
      <w:r w:rsidRPr="00C9193E">
        <w:rPr>
          <w:szCs w:val="24"/>
        </w:rPr>
        <w:t>Naturalism, Normativity, and Scepticism in Hum</w:t>
      </w:r>
      <w:r w:rsidR="00F72D96">
        <w:rPr>
          <w:szCs w:val="24"/>
        </w:rPr>
        <w:t>e’s Account of Belief”,</w:t>
      </w:r>
      <w:r w:rsidRPr="00C9193E">
        <w:rPr>
          <w:szCs w:val="24"/>
        </w:rPr>
        <w:t xml:space="preserve"> </w:t>
      </w:r>
      <w:r w:rsidRPr="00C9193E">
        <w:rPr>
          <w:i/>
          <w:szCs w:val="24"/>
        </w:rPr>
        <w:t>Hume Studies</w:t>
      </w:r>
      <w:r w:rsidRPr="00C9193E">
        <w:rPr>
          <w:szCs w:val="24"/>
        </w:rPr>
        <w:t xml:space="preserve"> 23:1.</w:t>
      </w:r>
    </w:p>
    <w:p w:rsidR="000308C2" w:rsidRDefault="000308C2" w:rsidP="000308C2">
      <w:pPr>
        <w:spacing w:before="120" w:line="360" w:lineRule="auto"/>
        <w:ind w:left="720" w:hanging="720"/>
        <w:rPr>
          <w:lang w:val="en-SG"/>
        </w:rPr>
      </w:pPr>
      <w:r w:rsidRPr="000308C2">
        <w:rPr>
          <w:lang w:val="en-SG"/>
        </w:rPr>
        <w:t>Feldman, F., 1986, </w:t>
      </w:r>
      <w:r w:rsidRPr="000308C2">
        <w:rPr>
          <w:i/>
          <w:iCs/>
          <w:lang w:val="en-SG"/>
        </w:rPr>
        <w:t>Doing the Best We Can</w:t>
      </w:r>
      <w:r w:rsidRPr="000308C2">
        <w:rPr>
          <w:lang w:val="en-SG"/>
        </w:rPr>
        <w:t>. Dordrecht: Reidel.</w:t>
      </w:r>
    </w:p>
    <w:p w:rsidR="00C9193E" w:rsidRDefault="001A639F" w:rsidP="000308C2">
      <w:pPr>
        <w:spacing w:before="120" w:line="360" w:lineRule="auto"/>
        <w:ind w:left="720" w:hanging="720"/>
        <w:rPr>
          <w:rFonts w:eastAsia="Times New Roman"/>
          <w:szCs w:val="24"/>
        </w:rPr>
      </w:pPr>
      <w:r>
        <w:rPr>
          <w:rFonts w:eastAsia="Times New Roman"/>
          <w:szCs w:val="24"/>
        </w:rPr>
        <w:t>Garrett, Don,</w:t>
      </w:r>
      <w:r w:rsidR="00C9193E" w:rsidRPr="00C9193E">
        <w:rPr>
          <w:rFonts w:eastAsia="Times New Roman"/>
          <w:szCs w:val="24"/>
        </w:rPr>
        <w:t xml:space="preserve"> 1997</w:t>
      </w:r>
      <w:r>
        <w:rPr>
          <w:rFonts w:eastAsia="Times New Roman"/>
          <w:szCs w:val="24"/>
        </w:rPr>
        <w:t>,</w:t>
      </w:r>
      <w:r w:rsidR="00C9193E" w:rsidRPr="00C9193E">
        <w:rPr>
          <w:rFonts w:eastAsia="Times New Roman"/>
          <w:szCs w:val="24"/>
        </w:rPr>
        <w:t xml:space="preserve"> </w:t>
      </w:r>
      <w:r w:rsidR="00C9193E" w:rsidRPr="00C9193E">
        <w:rPr>
          <w:rFonts w:eastAsia="Times New Roman"/>
          <w:i/>
          <w:szCs w:val="24"/>
        </w:rPr>
        <w:t>Cognition and Commitment in Hume's Philosophy</w:t>
      </w:r>
      <w:r w:rsidR="00C9193E" w:rsidRPr="00C9193E">
        <w:rPr>
          <w:rFonts w:eastAsia="Times New Roman"/>
          <w:szCs w:val="24"/>
        </w:rPr>
        <w:t>, Oxford/New York: Oxford University Press.</w:t>
      </w:r>
    </w:p>
    <w:p w:rsidR="009F6879" w:rsidRDefault="009F6879" w:rsidP="009F6879">
      <w:pPr>
        <w:spacing w:before="120" w:line="360" w:lineRule="auto"/>
        <w:ind w:left="720" w:hanging="720"/>
        <w:rPr>
          <w:rFonts w:eastAsia="Times New Roman"/>
          <w:szCs w:val="24"/>
        </w:rPr>
      </w:pPr>
      <w:r>
        <w:rPr>
          <w:rFonts w:eastAsia="Times New Roman"/>
          <w:szCs w:val="24"/>
        </w:rPr>
        <w:t>Garrett, Don,</w:t>
      </w:r>
      <w:r w:rsidRPr="00C9193E">
        <w:rPr>
          <w:rFonts w:eastAsia="Times New Roman"/>
          <w:szCs w:val="24"/>
        </w:rPr>
        <w:t xml:space="preserve"> </w:t>
      </w:r>
      <w:r>
        <w:rPr>
          <w:rFonts w:eastAsia="Times New Roman"/>
          <w:szCs w:val="24"/>
        </w:rPr>
        <w:t>2015,</w:t>
      </w:r>
      <w:r w:rsidRPr="00C9193E">
        <w:rPr>
          <w:rFonts w:eastAsia="Times New Roman"/>
          <w:szCs w:val="24"/>
        </w:rPr>
        <w:t xml:space="preserve"> </w:t>
      </w:r>
      <w:r>
        <w:rPr>
          <w:rFonts w:eastAsia="Times New Roman"/>
          <w:i/>
          <w:szCs w:val="24"/>
        </w:rPr>
        <w:t>Hume</w:t>
      </w:r>
      <w:r>
        <w:rPr>
          <w:rFonts w:eastAsia="Times New Roman"/>
          <w:szCs w:val="24"/>
        </w:rPr>
        <w:t>,</w:t>
      </w:r>
      <w:r w:rsidR="00F11BC3">
        <w:rPr>
          <w:rFonts w:eastAsia="Times New Roman"/>
          <w:szCs w:val="24"/>
        </w:rPr>
        <w:t xml:space="preserve"> Routledge</w:t>
      </w:r>
      <w:r w:rsidRPr="00C9193E">
        <w:rPr>
          <w:rFonts w:eastAsia="Times New Roman"/>
          <w:szCs w:val="24"/>
        </w:rPr>
        <w:t>.</w:t>
      </w:r>
    </w:p>
    <w:p w:rsidR="00604944" w:rsidRPr="00706754" w:rsidRDefault="00604944" w:rsidP="000308C2">
      <w:pPr>
        <w:spacing w:before="120" w:line="360" w:lineRule="auto"/>
        <w:ind w:left="720" w:hanging="720"/>
      </w:pPr>
      <w:r>
        <w:t>Hearn</w:t>
      </w:r>
      <w:r w:rsidR="00706754">
        <w:t>, Thomas K.,</w:t>
      </w:r>
      <w:r>
        <w:t xml:space="preserve"> 1970</w:t>
      </w:r>
      <w:r w:rsidR="00706754">
        <w:t xml:space="preserve">, “’General Rules’ in Hume’s </w:t>
      </w:r>
      <w:r w:rsidR="00706754">
        <w:rPr>
          <w:i/>
        </w:rPr>
        <w:t>Treatise</w:t>
      </w:r>
      <w:r w:rsidR="008D43B8">
        <w:t>”</w:t>
      </w:r>
      <w:r w:rsidR="00706754">
        <w:t xml:space="preserve">, </w:t>
      </w:r>
      <w:r w:rsidR="00706754">
        <w:rPr>
          <w:i/>
        </w:rPr>
        <w:t>Journal of the History of Philosophy</w:t>
      </w:r>
      <w:r w:rsidR="00706754">
        <w:t xml:space="preserve"> 8.4:405</w:t>
      </w:r>
      <w:r w:rsidR="00A34417" w:rsidRPr="00A34417">
        <w:t>–</w:t>
      </w:r>
      <w:r w:rsidR="00706754">
        <w:t>422.</w:t>
      </w:r>
    </w:p>
    <w:p w:rsidR="000308C2" w:rsidRDefault="000308C2" w:rsidP="000308C2">
      <w:pPr>
        <w:spacing w:before="120" w:line="360" w:lineRule="auto"/>
        <w:ind w:left="720" w:hanging="720"/>
      </w:pPr>
      <w:r w:rsidRPr="000308C2">
        <w:t xml:space="preserve">Heyd, D., 1982, </w:t>
      </w:r>
      <w:r w:rsidRPr="00BC23CF">
        <w:rPr>
          <w:i/>
        </w:rPr>
        <w:t>Supererogation: Its Status in Ethical Theory</w:t>
      </w:r>
      <w:r w:rsidRPr="000308C2">
        <w:t>, Cambridge: Cambridge University Press.</w:t>
      </w:r>
    </w:p>
    <w:p w:rsidR="005E3E8D" w:rsidRPr="005E3E8D" w:rsidRDefault="005E3E8D" w:rsidP="000308C2">
      <w:pPr>
        <w:spacing w:before="120" w:line="360" w:lineRule="auto"/>
        <w:ind w:left="720" w:hanging="720"/>
      </w:pPr>
      <w:r>
        <w:t xml:space="preserve">Hedberg, Trevor, 2014, “Epistemic Supererogation and its Implication”, </w:t>
      </w:r>
      <w:r>
        <w:rPr>
          <w:i/>
        </w:rPr>
        <w:t>Synthese</w:t>
      </w:r>
      <w:r>
        <w:t xml:space="preserve"> 191:3621</w:t>
      </w:r>
      <w:r w:rsidR="00A34417" w:rsidRPr="00A34417">
        <w:t>–</w:t>
      </w:r>
      <w:r>
        <w:t>3637.</w:t>
      </w:r>
    </w:p>
    <w:p w:rsidR="000308C2" w:rsidRPr="000308C2" w:rsidRDefault="000308C2" w:rsidP="000308C2">
      <w:pPr>
        <w:spacing w:before="120" w:line="360" w:lineRule="auto"/>
        <w:ind w:left="720" w:hanging="720"/>
        <w:rPr>
          <w:szCs w:val="24"/>
        </w:rPr>
      </w:pPr>
      <w:r w:rsidRPr="000308C2">
        <w:rPr>
          <w:szCs w:val="24"/>
        </w:rPr>
        <w:t>Hickerson, Ryan</w:t>
      </w:r>
      <w:r w:rsidR="001A639F">
        <w:rPr>
          <w:szCs w:val="24"/>
        </w:rPr>
        <w:t>,</w:t>
      </w:r>
      <w:r w:rsidRPr="000308C2">
        <w:rPr>
          <w:szCs w:val="24"/>
        </w:rPr>
        <w:t xml:space="preserve"> 2013</w:t>
      </w:r>
      <w:r w:rsidR="001A639F">
        <w:rPr>
          <w:szCs w:val="24"/>
        </w:rPr>
        <w:t>,</w:t>
      </w:r>
      <w:r w:rsidR="00F72D96">
        <w:rPr>
          <w:szCs w:val="24"/>
        </w:rPr>
        <w:t xml:space="preserve"> “</w:t>
      </w:r>
      <w:r w:rsidRPr="000308C2">
        <w:rPr>
          <w:szCs w:val="24"/>
        </w:rPr>
        <w:t>What the Wise Ought Believe: a Voluntarist Interpr</w:t>
      </w:r>
      <w:r w:rsidR="00F72D96">
        <w:rPr>
          <w:szCs w:val="24"/>
        </w:rPr>
        <w:t>etation of Hume’s General Rules”</w:t>
      </w:r>
      <w:r w:rsidR="008D43B8">
        <w:rPr>
          <w:szCs w:val="24"/>
        </w:rPr>
        <w:t>,</w:t>
      </w:r>
      <w:r w:rsidRPr="000308C2">
        <w:rPr>
          <w:szCs w:val="24"/>
        </w:rPr>
        <w:t xml:space="preserve"> </w:t>
      </w:r>
      <w:r w:rsidRPr="000308C2">
        <w:rPr>
          <w:i/>
          <w:szCs w:val="24"/>
        </w:rPr>
        <w:t>British Journal for the History of Philosophy</w:t>
      </w:r>
      <w:r w:rsidRPr="000308C2">
        <w:rPr>
          <w:szCs w:val="24"/>
        </w:rPr>
        <w:t xml:space="preserve"> 21:6.</w:t>
      </w:r>
    </w:p>
    <w:p w:rsidR="00C9193E" w:rsidRPr="00C9193E" w:rsidRDefault="00BA5922" w:rsidP="000308C2">
      <w:pPr>
        <w:spacing w:before="120" w:line="360" w:lineRule="auto"/>
        <w:ind w:left="720" w:hanging="720"/>
        <w:rPr>
          <w:rFonts w:eastAsia="Times New Roman"/>
          <w:szCs w:val="24"/>
        </w:rPr>
      </w:pPr>
      <w:r>
        <w:rPr>
          <w:rFonts w:eastAsia="Times New Roman"/>
          <w:szCs w:val="24"/>
        </w:rPr>
        <w:t>Hume, David, 1739–</w:t>
      </w:r>
      <w:r w:rsidR="00C9193E" w:rsidRPr="00C9193E">
        <w:rPr>
          <w:rFonts w:eastAsia="Times New Roman"/>
          <w:szCs w:val="24"/>
        </w:rPr>
        <w:t>1740</w:t>
      </w:r>
      <w:r w:rsidR="001A639F">
        <w:rPr>
          <w:rFonts w:eastAsia="Times New Roman"/>
          <w:szCs w:val="24"/>
        </w:rPr>
        <w:t>,</w:t>
      </w:r>
      <w:r w:rsidR="00C9193E" w:rsidRPr="00C9193E">
        <w:rPr>
          <w:rFonts w:eastAsia="Times New Roman"/>
          <w:szCs w:val="24"/>
        </w:rPr>
        <w:t xml:space="preserve"> </w:t>
      </w:r>
      <w:r w:rsidR="00C9193E" w:rsidRPr="00C9193E">
        <w:rPr>
          <w:rFonts w:eastAsia="Times New Roman"/>
          <w:i/>
          <w:szCs w:val="24"/>
        </w:rPr>
        <w:t>A Treatise of Human Nature</w:t>
      </w:r>
      <w:r w:rsidR="00C9193E" w:rsidRPr="00C9193E">
        <w:rPr>
          <w:rFonts w:eastAsia="Times New Roman"/>
          <w:szCs w:val="24"/>
        </w:rPr>
        <w:t>, edited by L. A. Selby-Bigge, 2nd ed. revised by P.H. Nidditch, Oxford: Clarendon Press, 1975.</w:t>
      </w:r>
    </w:p>
    <w:p w:rsidR="00C9193E" w:rsidRDefault="00C9193E" w:rsidP="000308C2">
      <w:pPr>
        <w:spacing w:before="120" w:line="360" w:lineRule="auto"/>
        <w:ind w:left="720" w:hanging="720"/>
        <w:rPr>
          <w:rFonts w:eastAsia="Times New Roman"/>
          <w:szCs w:val="24"/>
        </w:rPr>
      </w:pPr>
      <w:r w:rsidRPr="00C9193E">
        <w:rPr>
          <w:rFonts w:eastAsia="Times New Roman"/>
          <w:szCs w:val="24"/>
        </w:rPr>
        <w:t>Hume, David, 1748</w:t>
      </w:r>
      <w:r w:rsidR="001A639F">
        <w:rPr>
          <w:rFonts w:eastAsia="Times New Roman"/>
          <w:szCs w:val="24"/>
        </w:rPr>
        <w:t>,</w:t>
      </w:r>
      <w:r w:rsidRPr="00C9193E">
        <w:rPr>
          <w:rFonts w:eastAsia="Times New Roman"/>
          <w:szCs w:val="24"/>
        </w:rPr>
        <w:t xml:space="preserve"> </w:t>
      </w:r>
      <w:r w:rsidRPr="00C9193E">
        <w:rPr>
          <w:rFonts w:eastAsia="Times New Roman"/>
          <w:i/>
          <w:szCs w:val="24"/>
        </w:rPr>
        <w:t>Enquiries concerning Human Understanding and concerning the Principles of Morals</w:t>
      </w:r>
      <w:r w:rsidRPr="00C9193E">
        <w:rPr>
          <w:rFonts w:eastAsia="Times New Roman"/>
          <w:szCs w:val="24"/>
        </w:rPr>
        <w:t xml:space="preserve">, edited by L. A. Selby-Bigge, 3rd edition revised by P. H. Nidditch, Oxford: Clarendon Press, 1975. </w:t>
      </w:r>
    </w:p>
    <w:p w:rsidR="00AF4C75" w:rsidRPr="00AF4C75" w:rsidRDefault="00AF4C75" w:rsidP="000308C2">
      <w:pPr>
        <w:spacing w:before="120" w:line="360" w:lineRule="auto"/>
        <w:ind w:left="720" w:hanging="720"/>
        <w:rPr>
          <w:rFonts w:eastAsia="Times New Roman"/>
          <w:szCs w:val="24"/>
        </w:rPr>
      </w:pPr>
      <w:r>
        <w:rPr>
          <w:rFonts w:eastAsia="Times New Roman"/>
          <w:szCs w:val="24"/>
        </w:rPr>
        <w:t xml:space="preserve">Hume, David, </w:t>
      </w:r>
      <w:r w:rsidRPr="00AF4C75">
        <w:rPr>
          <w:rFonts w:eastAsia="Times New Roman"/>
          <w:i/>
          <w:szCs w:val="24"/>
        </w:rPr>
        <w:t>Dialogues Concerning Natural Religion, and The Natural History of Religion</w:t>
      </w:r>
      <w:r>
        <w:rPr>
          <w:rFonts w:eastAsia="Times New Roman"/>
          <w:szCs w:val="24"/>
        </w:rPr>
        <w:t>, edited by J.C.A. Gaskin, New York: Oxford University Press, 2008.</w:t>
      </w:r>
    </w:p>
    <w:p w:rsidR="00E167AB" w:rsidRDefault="00E167AB" w:rsidP="000308C2">
      <w:pPr>
        <w:spacing w:before="120" w:line="360" w:lineRule="auto"/>
        <w:ind w:left="720" w:hanging="720"/>
      </w:pPr>
      <w:r>
        <w:t>Hursthouse</w:t>
      </w:r>
      <w:r w:rsidR="00706754">
        <w:t>, Rosalind,</w:t>
      </w:r>
      <w:r>
        <w:t xml:space="preserve"> 1999</w:t>
      </w:r>
      <w:r w:rsidR="00706754">
        <w:t xml:space="preserve">, “Virtue Ethics and Human Nature”, </w:t>
      </w:r>
      <w:r w:rsidR="00706754">
        <w:rPr>
          <w:i/>
        </w:rPr>
        <w:t>Hume Studies</w:t>
      </w:r>
      <w:r w:rsidR="00706754">
        <w:t xml:space="preserve"> 25: 67</w:t>
      </w:r>
      <w:r w:rsidR="00BA5922">
        <w:t>–</w:t>
      </w:r>
      <w:r w:rsidR="00706754">
        <w:t>82.</w:t>
      </w:r>
    </w:p>
    <w:p w:rsidR="00A447A2" w:rsidRPr="00A447A2" w:rsidRDefault="00A447A2" w:rsidP="000308C2">
      <w:pPr>
        <w:spacing w:before="120" w:line="360" w:lineRule="auto"/>
        <w:ind w:left="720" w:hanging="720"/>
      </w:pPr>
      <w:r>
        <w:t xml:space="preserve">Ievers, Lisa, 2012, “Hume’s Conception of Proper Reflection”, </w:t>
      </w:r>
      <w:r>
        <w:rPr>
          <w:i/>
        </w:rPr>
        <w:t xml:space="preserve">Hume Studies </w:t>
      </w:r>
      <w:r>
        <w:t>38(2):129</w:t>
      </w:r>
      <w:r>
        <w:rPr>
          <w:lang w:val="en-SG"/>
        </w:rPr>
        <w:t xml:space="preserve">–155. </w:t>
      </w:r>
    </w:p>
    <w:p w:rsidR="00D90C7A" w:rsidRDefault="00D90C7A" w:rsidP="00D90C7A">
      <w:pPr>
        <w:spacing w:before="120" w:line="360" w:lineRule="auto"/>
        <w:ind w:left="720" w:hanging="720"/>
      </w:pPr>
      <w:r w:rsidRPr="00D90C7A">
        <w:t>Kail, Peter, 2005, “Hume’s Ethical Conclusion”, in Frasca-Spada, Marina, and Kail, Peter (eds.),</w:t>
      </w:r>
      <w:r w:rsidRPr="00D90C7A">
        <w:rPr>
          <w:i/>
        </w:rPr>
        <w:t xml:space="preserve"> Impressions of Hume</w:t>
      </w:r>
      <w:r w:rsidRPr="00D90C7A">
        <w:t>, Oxford University Press.</w:t>
      </w:r>
    </w:p>
    <w:p w:rsidR="00004C9D" w:rsidRPr="004421E9" w:rsidRDefault="00004C9D" w:rsidP="00D90C7A">
      <w:pPr>
        <w:spacing w:before="120" w:line="360" w:lineRule="auto"/>
        <w:ind w:left="720" w:hanging="720"/>
      </w:pPr>
      <w:r>
        <w:t>Korsgaard</w:t>
      </w:r>
      <w:r w:rsidR="004421E9">
        <w:t>, Christine,</w:t>
      </w:r>
      <w:r>
        <w:t xml:space="preserve"> 1996</w:t>
      </w:r>
      <w:r w:rsidR="004421E9">
        <w:t xml:space="preserve">, </w:t>
      </w:r>
      <w:r w:rsidR="004421E9">
        <w:rPr>
          <w:i/>
        </w:rPr>
        <w:t>The Sources of Normativity</w:t>
      </w:r>
      <w:r w:rsidR="004421E9">
        <w:t>, Cambridge: Cambridge University Press.</w:t>
      </w:r>
    </w:p>
    <w:p w:rsidR="00D90C7A" w:rsidRPr="00706754" w:rsidRDefault="00D90C7A" w:rsidP="00D90C7A">
      <w:pPr>
        <w:spacing w:before="120" w:line="360" w:lineRule="auto"/>
        <w:ind w:left="720" w:hanging="720"/>
      </w:pPr>
      <w:r w:rsidRPr="00D90C7A">
        <w:t xml:space="preserve">Loeb, Louis E, 2002. </w:t>
      </w:r>
      <w:r w:rsidRPr="00D90C7A">
        <w:rPr>
          <w:i/>
          <w:iCs/>
        </w:rPr>
        <w:t>Stability and Justification in Hume's</w:t>
      </w:r>
      <w:r w:rsidRPr="00D90C7A">
        <w:t xml:space="preserve"> Treatise, Oxford University Press.</w:t>
      </w:r>
    </w:p>
    <w:p w:rsidR="00C9193E" w:rsidRPr="00C9193E" w:rsidRDefault="00C9193E" w:rsidP="000308C2">
      <w:pPr>
        <w:spacing w:before="120" w:line="360" w:lineRule="auto"/>
        <w:ind w:left="720" w:hanging="720"/>
        <w:rPr>
          <w:szCs w:val="24"/>
          <w:lang w:eastAsia="en-GB"/>
        </w:rPr>
      </w:pPr>
      <w:r w:rsidRPr="00C9193E">
        <w:rPr>
          <w:szCs w:val="24"/>
        </w:rPr>
        <w:t>McCormick, Miriam, 2005</w:t>
      </w:r>
      <w:r w:rsidR="001A639F">
        <w:rPr>
          <w:szCs w:val="24"/>
        </w:rPr>
        <w:t>,</w:t>
      </w:r>
      <w:r w:rsidRPr="00C9193E">
        <w:rPr>
          <w:szCs w:val="24"/>
        </w:rPr>
        <w:t xml:space="preserve"> </w:t>
      </w:r>
      <w:r w:rsidRPr="00C9193E">
        <w:rPr>
          <w:szCs w:val="24"/>
          <w:lang w:eastAsia="en-GB"/>
        </w:rPr>
        <w:t xml:space="preserve">“Why Should We Be Wise?”, </w:t>
      </w:r>
      <w:r w:rsidRPr="00C9193E">
        <w:rPr>
          <w:i/>
          <w:iCs/>
          <w:szCs w:val="24"/>
          <w:lang w:eastAsia="en-GB"/>
        </w:rPr>
        <w:t xml:space="preserve">Hume Studies </w:t>
      </w:r>
      <w:r w:rsidR="00706754">
        <w:rPr>
          <w:szCs w:val="24"/>
          <w:lang w:eastAsia="en-GB"/>
        </w:rPr>
        <w:t>Vol. 31:</w:t>
      </w:r>
      <w:r w:rsidRPr="00C9193E">
        <w:rPr>
          <w:szCs w:val="24"/>
          <w:lang w:eastAsia="en-GB"/>
        </w:rPr>
        <w:t>1.</w:t>
      </w:r>
    </w:p>
    <w:p w:rsidR="000308C2" w:rsidRDefault="000308C2" w:rsidP="000308C2">
      <w:pPr>
        <w:spacing w:before="120" w:line="360" w:lineRule="auto"/>
        <w:ind w:left="720" w:hanging="720"/>
      </w:pPr>
      <w:r w:rsidRPr="000308C2">
        <w:lastRenderedPageBreak/>
        <w:t xml:space="preserve">Moore, G. E., 1948, </w:t>
      </w:r>
      <w:r w:rsidRPr="00BC23CF">
        <w:rPr>
          <w:i/>
        </w:rPr>
        <w:t>Principia Ethica</w:t>
      </w:r>
      <w:r w:rsidRPr="000308C2">
        <w:t>, Cambridge: Cambridge University Press.</w:t>
      </w:r>
    </w:p>
    <w:p w:rsidR="00B80F57" w:rsidRDefault="00B80F57" w:rsidP="000308C2">
      <w:pPr>
        <w:spacing w:before="120" w:line="360" w:lineRule="auto"/>
        <w:ind w:left="720" w:hanging="720"/>
      </w:pPr>
      <w:r>
        <w:t xml:space="preserve">Moore, Michael, </w:t>
      </w:r>
      <w:r w:rsidRPr="00B80F57">
        <w:t>1997, </w:t>
      </w:r>
      <w:r w:rsidRPr="00B80F57">
        <w:rPr>
          <w:i/>
          <w:iCs/>
        </w:rPr>
        <w:t>Placing Blame: A General Theory of the Criminal Law</w:t>
      </w:r>
      <w:r w:rsidRPr="00B80F57">
        <w:t>, Oxford: Oxford University Press.</w:t>
      </w:r>
    </w:p>
    <w:p w:rsidR="00DA7D7F" w:rsidRPr="00DA7D7F" w:rsidRDefault="00DA7D7F" w:rsidP="000308C2">
      <w:pPr>
        <w:spacing w:before="120" w:line="360" w:lineRule="auto"/>
        <w:ind w:left="720" w:hanging="720"/>
      </w:pPr>
      <w:r>
        <w:t xml:space="preserve">Morris, W., 2000. “Hume’s Conclusion”, </w:t>
      </w:r>
      <w:r>
        <w:rPr>
          <w:i/>
        </w:rPr>
        <w:t>Philosophical Studies</w:t>
      </w:r>
      <w:r>
        <w:t xml:space="preserve"> 19.1:89–110.</w:t>
      </w:r>
    </w:p>
    <w:p w:rsidR="00604944" w:rsidRDefault="00706754" w:rsidP="00706754">
      <w:pPr>
        <w:spacing w:before="120" w:line="360" w:lineRule="auto"/>
        <w:ind w:left="720" w:hanging="720"/>
      </w:pPr>
      <w:r>
        <w:t xml:space="preserve">Morris, W., 2006. “Belief, Probability, Normativity”, in Traiger, S. (ed.), </w:t>
      </w:r>
      <w:r w:rsidRPr="00706754">
        <w:rPr>
          <w:i/>
        </w:rPr>
        <w:t>The Blackwell Guide to Hume‘s</w:t>
      </w:r>
      <w:r>
        <w:t xml:space="preserve"> Treatise, Oxford: Blackwell.</w:t>
      </w:r>
    </w:p>
    <w:p w:rsidR="000308C2" w:rsidRDefault="000308C2" w:rsidP="000308C2">
      <w:pPr>
        <w:spacing w:before="120" w:line="360" w:lineRule="auto"/>
        <w:ind w:left="720" w:hanging="720"/>
      </w:pPr>
      <w:r w:rsidRPr="000308C2">
        <w:t xml:space="preserve">New, C., 1974, “Saints, Heroes and Utilitarians”, </w:t>
      </w:r>
      <w:r w:rsidRPr="00BC23CF">
        <w:rPr>
          <w:i/>
        </w:rPr>
        <w:t>Philosophy</w:t>
      </w:r>
      <w:r w:rsidRPr="000308C2">
        <w:t xml:space="preserve"> 49: 179–189.</w:t>
      </w:r>
    </w:p>
    <w:p w:rsidR="000308C2" w:rsidRPr="000308C2" w:rsidRDefault="000308C2" w:rsidP="000308C2">
      <w:pPr>
        <w:spacing w:before="120" w:line="360" w:lineRule="auto"/>
        <w:ind w:left="720" w:hanging="720"/>
        <w:rPr>
          <w:szCs w:val="24"/>
        </w:rPr>
      </w:pPr>
      <w:r w:rsidRPr="000308C2">
        <w:rPr>
          <w:szCs w:val="24"/>
        </w:rPr>
        <w:t>Norton, David</w:t>
      </w:r>
      <w:r w:rsidR="001A639F">
        <w:rPr>
          <w:szCs w:val="24"/>
        </w:rPr>
        <w:t>, 1982,</w:t>
      </w:r>
      <w:r w:rsidRPr="000308C2">
        <w:rPr>
          <w:szCs w:val="24"/>
        </w:rPr>
        <w:t xml:space="preserve"> </w:t>
      </w:r>
      <w:r w:rsidRPr="000308C2">
        <w:rPr>
          <w:i/>
          <w:szCs w:val="24"/>
        </w:rPr>
        <w:t>David Hume</w:t>
      </w:r>
      <w:r w:rsidR="00BC23CF">
        <w:rPr>
          <w:szCs w:val="24"/>
        </w:rPr>
        <w:t>,</w:t>
      </w:r>
      <w:r w:rsidRPr="000308C2">
        <w:rPr>
          <w:szCs w:val="24"/>
        </w:rPr>
        <w:t xml:space="preserve"> Princeton University Press.</w:t>
      </w:r>
    </w:p>
    <w:p w:rsidR="00C9193E" w:rsidRPr="00C9193E" w:rsidRDefault="00C9193E" w:rsidP="000308C2">
      <w:pPr>
        <w:spacing w:before="120" w:line="360" w:lineRule="auto"/>
        <w:ind w:left="720" w:hanging="720"/>
        <w:rPr>
          <w:rFonts w:eastAsia="Times New Roman"/>
          <w:szCs w:val="24"/>
        </w:rPr>
      </w:pPr>
      <w:r w:rsidRPr="00C9193E">
        <w:rPr>
          <w:rFonts w:eastAsia="Times New Roman"/>
          <w:szCs w:val="24"/>
        </w:rPr>
        <w:t>Owen, David, 1999</w:t>
      </w:r>
      <w:r w:rsidR="001A639F">
        <w:rPr>
          <w:rFonts w:eastAsia="Times New Roman"/>
          <w:szCs w:val="24"/>
        </w:rPr>
        <w:t>,</w:t>
      </w:r>
      <w:r w:rsidRPr="00C9193E">
        <w:rPr>
          <w:rFonts w:eastAsia="Times New Roman"/>
          <w:szCs w:val="24"/>
        </w:rPr>
        <w:t xml:space="preserve"> </w:t>
      </w:r>
      <w:r w:rsidRPr="00C9193E">
        <w:rPr>
          <w:rFonts w:eastAsia="Times New Roman"/>
          <w:i/>
          <w:szCs w:val="24"/>
        </w:rPr>
        <w:t>Hume's Reason</w:t>
      </w:r>
      <w:r w:rsidRPr="00C9193E">
        <w:rPr>
          <w:rFonts w:eastAsia="Times New Roman"/>
          <w:szCs w:val="24"/>
        </w:rPr>
        <w:t>, Oxford: Oxford University Press.</w:t>
      </w:r>
    </w:p>
    <w:p w:rsidR="000308C2" w:rsidRDefault="000308C2" w:rsidP="000308C2">
      <w:pPr>
        <w:spacing w:before="120" w:line="360" w:lineRule="auto"/>
        <w:ind w:left="720" w:hanging="720"/>
      </w:pPr>
      <w:r w:rsidRPr="000308C2">
        <w:t>Pybus, E., 1982, “‘</w:t>
      </w:r>
      <w:r w:rsidR="00BC23CF">
        <w:t xml:space="preserve">Saints and Heroes’”, </w:t>
      </w:r>
      <w:r w:rsidR="00BC23CF" w:rsidRPr="00BC23CF">
        <w:rPr>
          <w:i/>
        </w:rPr>
        <w:t>Philosophy</w:t>
      </w:r>
      <w:r w:rsidRPr="000308C2">
        <w:t xml:space="preserve"> 57: 193–199.</w:t>
      </w:r>
    </w:p>
    <w:p w:rsidR="000308C2" w:rsidRDefault="000308C2" w:rsidP="000308C2">
      <w:pPr>
        <w:spacing w:before="120" w:line="360" w:lineRule="auto"/>
        <w:ind w:left="720" w:hanging="720"/>
        <w:rPr>
          <w:szCs w:val="24"/>
        </w:rPr>
      </w:pPr>
      <w:r w:rsidRPr="000308C2">
        <w:rPr>
          <w:szCs w:val="24"/>
        </w:rPr>
        <w:t>Qu, Hsueh</w:t>
      </w:r>
      <w:r w:rsidR="001A639F">
        <w:rPr>
          <w:szCs w:val="24"/>
        </w:rPr>
        <w:t>,</w:t>
      </w:r>
      <w:r w:rsidRPr="000308C2">
        <w:rPr>
          <w:szCs w:val="24"/>
        </w:rPr>
        <w:t xml:space="preserve"> 2014</w:t>
      </w:r>
      <w:r w:rsidR="001A639F">
        <w:rPr>
          <w:szCs w:val="24"/>
        </w:rPr>
        <w:t>,</w:t>
      </w:r>
      <w:r w:rsidRPr="000308C2">
        <w:rPr>
          <w:szCs w:val="24"/>
        </w:rPr>
        <w:t xml:space="preserve"> </w:t>
      </w:r>
      <w:r w:rsidR="008D43B8">
        <w:rPr>
          <w:szCs w:val="24"/>
        </w:rPr>
        <w:t>“</w:t>
      </w:r>
      <w:r w:rsidRPr="000308C2">
        <w:rPr>
          <w:szCs w:val="24"/>
        </w:rPr>
        <w:t>Hume’s Practically Epistemic Conclusions?</w:t>
      </w:r>
      <w:r w:rsidR="008D43B8">
        <w:rPr>
          <w:szCs w:val="24"/>
        </w:rPr>
        <w:t>”,</w:t>
      </w:r>
      <w:r w:rsidRPr="000308C2">
        <w:rPr>
          <w:szCs w:val="24"/>
        </w:rPr>
        <w:t xml:space="preserve"> </w:t>
      </w:r>
      <w:r w:rsidRPr="000308C2">
        <w:rPr>
          <w:i/>
          <w:szCs w:val="24"/>
        </w:rPr>
        <w:t xml:space="preserve">Philosophical Studies </w:t>
      </w:r>
      <w:r w:rsidR="003112B3">
        <w:rPr>
          <w:szCs w:val="24"/>
        </w:rPr>
        <w:t>170:3, pp. 501–</w:t>
      </w:r>
      <w:r w:rsidRPr="000308C2">
        <w:rPr>
          <w:szCs w:val="24"/>
        </w:rPr>
        <w:t>24.</w:t>
      </w:r>
    </w:p>
    <w:p w:rsidR="00921371" w:rsidRDefault="00921371" w:rsidP="000308C2">
      <w:pPr>
        <w:spacing w:before="120" w:line="360" w:lineRule="auto"/>
        <w:ind w:left="720" w:hanging="720"/>
        <w:rPr>
          <w:szCs w:val="24"/>
        </w:rPr>
      </w:pPr>
      <w:r>
        <w:rPr>
          <w:szCs w:val="24"/>
        </w:rPr>
        <w:t xml:space="preserve">Qu, Hsueh, 2017, </w:t>
      </w:r>
      <w:r w:rsidR="008D43B8">
        <w:rPr>
          <w:szCs w:val="24"/>
        </w:rPr>
        <w:t>“</w:t>
      </w:r>
      <w:r>
        <w:rPr>
          <w:szCs w:val="24"/>
        </w:rPr>
        <w:t>Hume’s Doxastic Involuntarism</w:t>
      </w:r>
      <w:r w:rsidR="008D43B8">
        <w:rPr>
          <w:szCs w:val="24"/>
        </w:rPr>
        <w:t>”</w:t>
      </w:r>
      <w:r>
        <w:rPr>
          <w:szCs w:val="24"/>
        </w:rPr>
        <w:t xml:space="preserve">, </w:t>
      </w:r>
      <w:r w:rsidRPr="00921371">
        <w:rPr>
          <w:i/>
          <w:szCs w:val="24"/>
        </w:rPr>
        <w:t xml:space="preserve">Mind </w:t>
      </w:r>
      <w:r>
        <w:rPr>
          <w:szCs w:val="24"/>
        </w:rPr>
        <w:t>126:501, pp.</w:t>
      </w:r>
      <w:r w:rsidRPr="00921371">
        <w:rPr>
          <w:szCs w:val="24"/>
        </w:rPr>
        <w:t xml:space="preserve"> 53–92.</w:t>
      </w:r>
    </w:p>
    <w:p w:rsidR="00921371" w:rsidRDefault="00921371" w:rsidP="000308C2">
      <w:pPr>
        <w:spacing w:before="120" w:line="360" w:lineRule="auto"/>
        <w:ind w:left="720" w:hanging="720"/>
        <w:rPr>
          <w:szCs w:val="24"/>
        </w:rPr>
      </w:pPr>
      <w:r>
        <w:rPr>
          <w:szCs w:val="24"/>
        </w:rPr>
        <w:t>Qu, Hsueh, 2019,</w:t>
      </w:r>
      <w:r w:rsidRPr="00921371">
        <w:t xml:space="preserve"> </w:t>
      </w:r>
      <w:r>
        <w:rPr>
          <w:szCs w:val="24"/>
        </w:rPr>
        <w:t>11.</w:t>
      </w:r>
      <w:r>
        <w:rPr>
          <w:szCs w:val="24"/>
        </w:rPr>
        <w:tab/>
      </w:r>
      <w:r w:rsidR="008D43B8">
        <w:rPr>
          <w:szCs w:val="24"/>
        </w:rPr>
        <w:t>“</w:t>
      </w:r>
      <w:r>
        <w:rPr>
          <w:szCs w:val="24"/>
        </w:rPr>
        <w:t>Laying Down Hume’s Law</w:t>
      </w:r>
      <w:r w:rsidR="008D43B8">
        <w:rPr>
          <w:szCs w:val="24"/>
        </w:rPr>
        <w:t>”</w:t>
      </w:r>
      <w:r>
        <w:rPr>
          <w:szCs w:val="24"/>
        </w:rPr>
        <w:t>,</w:t>
      </w:r>
      <w:r w:rsidRPr="00921371">
        <w:rPr>
          <w:szCs w:val="24"/>
        </w:rPr>
        <w:t xml:space="preserve"> </w:t>
      </w:r>
      <w:r w:rsidRPr="00921371">
        <w:rPr>
          <w:i/>
          <w:szCs w:val="24"/>
        </w:rPr>
        <w:t>Pacific Philosophical Quarterly</w:t>
      </w:r>
      <w:r w:rsidRPr="00921371">
        <w:rPr>
          <w:szCs w:val="24"/>
        </w:rPr>
        <w:t xml:space="preserve"> 100: 24–46.</w:t>
      </w:r>
    </w:p>
    <w:p w:rsidR="000308C2" w:rsidRPr="000308C2" w:rsidRDefault="000308C2" w:rsidP="000308C2">
      <w:pPr>
        <w:spacing w:before="120" w:line="360" w:lineRule="auto"/>
        <w:ind w:left="720" w:hanging="720"/>
      </w:pPr>
      <w:r w:rsidRPr="000308C2">
        <w:t xml:space="preserve">Rawls, J., 1971, </w:t>
      </w:r>
      <w:r w:rsidRPr="00BC23CF">
        <w:rPr>
          <w:i/>
        </w:rPr>
        <w:t>A Theory of Justice</w:t>
      </w:r>
      <w:r w:rsidRPr="000308C2">
        <w:t>, Cambridge, Mass.: Harvard University Press.</w:t>
      </w:r>
    </w:p>
    <w:p w:rsidR="000308C2" w:rsidRDefault="000308C2" w:rsidP="000308C2">
      <w:pPr>
        <w:spacing w:before="120" w:line="360" w:lineRule="auto"/>
        <w:ind w:left="720" w:hanging="720"/>
      </w:pPr>
      <w:r w:rsidRPr="000308C2">
        <w:t xml:space="preserve">Raz, J., 1975, “Permissions and Supererogation”, </w:t>
      </w:r>
      <w:r w:rsidRPr="00BC23CF">
        <w:rPr>
          <w:i/>
        </w:rPr>
        <w:t>American Philosophical Quarterly</w:t>
      </w:r>
      <w:r w:rsidRPr="000308C2">
        <w:t>, 12: 161–168.</w:t>
      </w:r>
    </w:p>
    <w:p w:rsidR="000308C2" w:rsidRDefault="000308C2" w:rsidP="000308C2">
      <w:pPr>
        <w:spacing w:before="120" w:line="360" w:lineRule="auto"/>
        <w:ind w:left="720" w:hanging="720"/>
      </w:pPr>
      <w:r w:rsidRPr="000308C2">
        <w:t xml:space="preserve">Richards, 1971, </w:t>
      </w:r>
      <w:r w:rsidRPr="00BC23CF">
        <w:rPr>
          <w:i/>
        </w:rPr>
        <w:t>A Theory of Reasons for Action</w:t>
      </w:r>
      <w:r w:rsidRPr="000308C2">
        <w:t>, Oxford: Clarendon Press.</w:t>
      </w:r>
    </w:p>
    <w:p w:rsidR="000308C2" w:rsidRDefault="000308C2" w:rsidP="000308C2">
      <w:pPr>
        <w:spacing w:before="120" w:line="360" w:lineRule="auto"/>
        <w:ind w:left="720" w:hanging="720"/>
        <w:rPr>
          <w:rFonts w:eastAsia="Times New Roman"/>
          <w:szCs w:val="24"/>
        </w:rPr>
      </w:pPr>
      <w:r w:rsidRPr="000308C2">
        <w:rPr>
          <w:rFonts w:eastAsia="Times New Roman"/>
          <w:szCs w:val="24"/>
        </w:rPr>
        <w:t>Ridge, Michael</w:t>
      </w:r>
      <w:r w:rsidR="001A639F">
        <w:rPr>
          <w:rFonts w:eastAsia="Times New Roman"/>
          <w:szCs w:val="24"/>
        </w:rPr>
        <w:t>,</w:t>
      </w:r>
      <w:r w:rsidRPr="000308C2">
        <w:rPr>
          <w:rFonts w:eastAsia="Times New Roman"/>
          <w:szCs w:val="24"/>
        </w:rPr>
        <w:t xml:space="preserve"> 2003</w:t>
      </w:r>
      <w:r w:rsidR="001A639F">
        <w:rPr>
          <w:rFonts w:eastAsia="Times New Roman"/>
          <w:szCs w:val="24"/>
        </w:rPr>
        <w:t>,</w:t>
      </w:r>
      <w:r w:rsidRPr="000308C2">
        <w:rPr>
          <w:rFonts w:eastAsia="Times New Roman"/>
          <w:szCs w:val="24"/>
        </w:rPr>
        <w:t xml:space="preserve"> </w:t>
      </w:r>
      <w:r w:rsidR="008D43B8">
        <w:rPr>
          <w:rFonts w:eastAsia="Times New Roman"/>
          <w:szCs w:val="24"/>
        </w:rPr>
        <w:t>“</w:t>
      </w:r>
      <w:r w:rsidRPr="000308C2">
        <w:rPr>
          <w:rFonts w:eastAsia="Times New Roman"/>
          <w:szCs w:val="24"/>
        </w:rPr>
        <w:t>Epistemology Moralized: David Hume’s Practical Epistemology</w:t>
      </w:r>
      <w:r w:rsidR="008D43B8">
        <w:rPr>
          <w:rFonts w:eastAsia="Times New Roman"/>
          <w:szCs w:val="24"/>
        </w:rPr>
        <w:t>”,</w:t>
      </w:r>
      <w:r w:rsidRPr="000308C2">
        <w:rPr>
          <w:rFonts w:eastAsia="Times New Roman"/>
          <w:szCs w:val="24"/>
        </w:rPr>
        <w:t xml:space="preserve"> </w:t>
      </w:r>
      <w:r w:rsidRPr="000308C2">
        <w:rPr>
          <w:rFonts w:eastAsia="Times New Roman"/>
          <w:i/>
          <w:szCs w:val="24"/>
        </w:rPr>
        <w:t>Hume Studies</w:t>
      </w:r>
      <w:r w:rsidRPr="000308C2">
        <w:rPr>
          <w:rFonts w:eastAsia="Times New Roman"/>
          <w:szCs w:val="24"/>
        </w:rPr>
        <w:t xml:space="preserve"> 29:2.</w:t>
      </w:r>
    </w:p>
    <w:p w:rsidR="00B32307" w:rsidRPr="000308C2" w:rsidRDefault="00B32307" w:rsidP="00B32307">
      <w:pPr>
        <w:spacing w:before="120" w:line="360" w:lineRule="auto"/>
        <w:ind w:left="720" w:hanging="720"/>
        <w:rPr>
          <w:rFonts w:eastAsia="Times New Roman"/>
          <w:szCs w:val="24"/>
        </w:rPr>
      </w:pPr>
      <w:r w:rsidRPr="00B32307">
        <w:rPr>
          <w:rFonts w:eastAsia="Times New Roman"/>
          <w:szCs w:val="24"/>
        </w:rPr>
        <w:t xml:space="preserve">Sasser, Nathan, Forthcoming, </w:t>
      </w:r>
      <w:r w:rsidR="008D43B8">
        <w:rPr>
          <w:rFonts w:eastAsia="Times New Roman"/>
          <w:szCs w:val="24"/>
        </w:rPr>
        <w:t>“</w:t>
      </w:r>
      <w:r w:rsidRPr="00B32307">
        <w:rPr>
          <w:rFonts w:eastAsia="Times New Roman"/>
          <w:szCs w:val="24"/>
        </w:rPr>
        <w:t>Hume’s Purely Practical Response to Philosophical Skepticism</w:t>
      </w:r>
      <w:r w:rsidR="008D43B8">
        <w:rPr>
          <w:rFonts w:eastAsia="Times New Roman"/>
          <w:szCs w:val="24"/>
        </w:rPr>
        <w:t>”</w:t>
      </w:r>
      <w:r w:rsidRPr="00B32307">
        <w:rPr>
          <w:rFonts w:eastAsia="Times New Roman"/>
          <w:szCs w:val="24"/>
        </w:rPr>
        <w:t xml:space="preserve">, </w:t>
      </w:r>
      <w:r w:rsidRPr="00B32307">
        <w:rPr>
          <w:rFonts w:eastAsia="Times New Roman"/>
          <w:i/>
          <w:szCs w:val="24"/>
        </w:rPr>
        <w:t>Hume Studies</w:t>
      </w:r>
      <w:r w:rsidRPr="00B32307">
        <w:rPr>
          <w:rFonts w:eastAsia="Times New Roman"/>
          <w:szCs w:val="24"/>
        </w:rPr>
        <w:t>.</w:t>
      </w:r>
    </w:p>
    <w:p w:rsidR="00C9193E" w:rsidRDefault="00C9193E" w:rsidP="000308C2">
      <w:pPr>
        <w:spacing w:before="120" w:line="360" w:lineRule="auto"/>
        <w:ind w:left="720" w:hanging="720"/>
        <w:rPr>
          <w:szCs w:val="24"/>
        </w:rPr>
      </w:pPr>
      <w:r w:rsidRPr="00C9193E">
        <w:rPr>
          <w:szCs w:val="24"/>
        </w:rPr>
        <w:t xml:space="preserve">Schafer, Karl, </w:t>
      </w:r>
      <w:r>
        <w:rPr>
          <w:szCs w:val="24"/>
        </w:rPr>
        <w:t>2014</w:t>
      </w:r>
      <w:r w:rsidR="001A639F">
        <w:rPr>
          <w:szCs w:val="24"/>
        </w:rPr>
        <w:t>,</w:t>
      </w:r>
      <w:r w:rsidRPr="00C9193E">
        <w:rPr>
          <w:szCs w:val="24"/>
        </w:rPr>
        <w:t xml:space="preserve"> “Curious Virtues in Hume’s Epistemology”, </w:t>
      </w:r>
      <w:r w:rsidRPr="00C9193E">
        <w:rPr>
          <w:i/>
          <w:szCs w:val="24"/>
        </w:rPr>
        <w:t>Philosophers’ Imprint</w:t>
      </w:r>
      <w:r w:rsidRPr="00C9193E">
        <w:rPr>
          <w:szCs w:val="24"/>
        </w:rPr>
        <w:t>.</w:t>
      </w:r>
    </w:p>
    <w:p w:rsidR="00D90C7A" w:rsidRPr="00C9193E" w:rsidRDefault="00D90C7A" w:rsidP="00D90C7A">
      <w:pPr>
        <w:spacing w:before="120" w:line="360" w:lineRule="auto"/>
        <w:ind w:left="720" w:hanging="720"/>
        <w:rPr>
          <w:szCs w:val="24"/>
        </w:rPr>
      </w:pPr>
      <w:r w:rsidRPr="00D90C7A">
        <w:rPr>
          <w:szCs w:val="24"/>
        </w:rPr>
        <w:t xml:space="preserve">Schmitt, Frederick, 2014. </w:t>
      </w:r>
      <w:r w:rsidRPr="00D90C7A">
        <w:rPr>
          <w:i/>
          <w:szCs w:val="24"/>
        </w:rPr>
        <w:t xml:space="preserve">Hume’s Epistemology in the </w:t>
      </w:r>
      <w:r w:rsidRPr="00D90C7A">
        <w:rPr>
          <w:szCs w:val="24"/>
        </w:rPr>
        <w:t>Treatise, Oxford University Press.</w:t>
      </w:r>
    </w:p>
    <w:p w:rsidR="000308C2" w:rsidRDefault="000308C2" w:rsidP="000308C2">
      <w:pPr>
        <w:spacing w:before="120" w:line="360" w:lineRule="auto"/>
        <w:ind w:left="720" w:hanging="720"/>
      </w:pPr>
      <w:r w:rsidRPr="000308C2">
        <w:t xml:space="preserve">Schumaker, M., 1972, “Deontic Morality and the Problem of Supererogation”, </w:t>
      </w:r>
      <w:r w:rsidRPr="00BC23CF">
        <w:rPr>
          <w:i/>
        </w:rPr>
        <w:t>Philosophical Studies</w:t>
      </w:r>
      <w:r w:rsidRPr="000308C2">
        <w:t>, 23: 427–428.</w:t>
      </w:r>
    </w:p>
    <w:p w:rsidR="005E1A82" w:rsidRDefault="005E1A82" w:rsidP="005E1A82">
      <w:pPr>
        <w:spacing w:before="120" w:line="360" w:lineRule="auto"/>
        <w:ind w:left="720" w:hanging="720"/>
      </w:pPr>
      <w:r>
        <w:lastRenderedPageBreak/>
        <w:t>Sturgeon, N.L.</w:t>
      </w:r>
      <w:r w:rsidR="008D43B8">
        <w:t>,</w:t>
      </w:r>
      <w:r>
        <w:t xml:space="preserve"> 2001</w:t>
      </w:r>
      <w:r w:rsidR="008D43B8">
        <w:t>,</w:t>
      </w:r>
      <w:r>
        <w:t xml:space="preserve"> </w:t>
      </w:r>
      <w:r w:rsidR="008D43B8">
        <w:t>“</w:t>
      </w:r>
      <w:r>
        <w:t xml:space="preserve">Moral Skepticism and Moral Naturalism in Hume’s </w:t>
      </w:r>
      <w:r>
        <w:rPr>
          <w:i/>
        </w:rPr>
        <w:t>Treatise</w:t>
      </w:r>
      <w:r w:rsidR="008D43B8">
        <w:t>”,</w:t>
      </w:r>
      <w:r>
        <w:t xml:space="preserve"> </w:t>
      </w:r>
      <w:r>
        <w:rPr>
          <w:i/>
        </w:rPr>
        <w:t>Hume Studies</w:t>
      </w:r>
      <w:r>
        <w:t xml:space="preserve"> 27(1):3</w:t>
      </w:r>
      <w:r w:rsidR="00A34417" w:rsidRPr="00A34417">
        <w:t>–</w:t>
      </w:r>
      <w:r>
        <w:t>84.</w:t>
      </w:r>
    </w:p>
    <w:p w:rsidR="00E167AB" w:rsidRPr="00EE7117" w:rsidRDefault="00EE7117" w:rsidP="000308C2">
      <w:pPr>
        <w:spacing w:before="120" w:line="360" w:lineRule="auto"/>
        <w:ind w:left="720" w:hanging="720"/>
      </w:pPr>
      <w:r>
        <w:t>Swanton, Christine, 2007</w:t>
      </w:r>
      <w:r w:rsidR="001A639F">
        <w:t>,</w:t>
      </w:r>
      <w:r>
        <w:t xml:space="preserve"> “Can Hume Be Read as a Virtue Ethicist?”, </w:t>
      </w:r>
      <w:r>
        <w:rPr>
          <w:i/>
        </w:rPr>
        <w:t>Hume Studies</w:t>
      </w:r>
      <w:r>
        <w:t xml:space="preserve"> 33:1.</w:t>
      </w:r>
    </w:p>
    <w:p w:rsidR="00E167AB" w:rsidRPr="001A639F" w:rsidRDefault="00E167AB" w:rsidP="000308C2">
      <w:pPr>
        <w:spacing w:before="120" w:line="360" w:lineRule="auto"/>
        <w:ind w:left="720" w:hanging="720"/>
      </w:pPr>
      <w:r>
        <w:t>Swanton</w:t>
      </w:r>
      <w:r w:rsidR="001A639F">
        <w:t>, Christine,</w:t>
      </w:r>
      <w:r>
        <w:t xml:space="preserve"> forthcoming</w:t>
      </w:r>
      <w:r w:rsidR="001A639F">
        <w:t xml:space="preserve">, “Hume and Virtue Ethics”, in Russell, P. (ed.), </w:t>
      </w:r>
      <w:r w:rsidR="001A639F">
        <w:rPr>
          <w:i/>
        </w:rPr>
        <w:t>The Oxford Handbook of Hume</w:t>
      </w:r>
      <w:r w:rsidR="001A639F">
        <w:t>, Oxford University Press.</w:t>
      </w:r>
    </w:p>
    <w:p w:rsidR="00E167AB" w:rsidRDefault="00E167AB" w:rsidP="000308C2">
      <w:pPr>
        <w:spacing w:before="120" w:line="360" w:lineRule="auto"/>
        <w:ind w:left="720" w:hanging="720"/>
      </w:pPr>
      <w:r>
        <w:t>Taylor</w:t>
      </w:r>
      <w:r w:rsidR="00F07D77">
        <w:t>, Jacqueline,</w:t>
      </w:r>
      <w:r>
        <w:t xml:space="preserve"> 2006</w:t>
      </w:r>
      <w:r w:rsidR="00F07D77">
        <w:t>,</w:t>
      </w:r>
      <w:r w:rsidR="00F07D77" w:rsidRPr="00F07D77">
        <w:t xml:space="preserve"> “Virtue and the Evaluation of Character,” in </w:t>
      </w:r>
      <w:r w:rsidR="00F07D77">
        <w:t xml:space="preserve"> Traiger, S. (ed.), </w:t>
      </w:r>
      <w:r w:rsidR="00F07D77" w:rsidRPr="00F07D77">
        <w:rPr>
          <w:i/>
        </w:rPr>
        <w:t xml:space="preserve">The Blackwell Guide to Hume’s </w:t>
      </w:r>
      <w:r w:rsidR="00F07D77" w:rsidRPr="00F07D77">
        <w:t xml:space="preserve">Treatise, </w:t>
      </w:r>
      <w:r w:rsidR="00F07D77">
        <w:t>Oxford: Blackwell</w:t>
      </w:r>
      <w:r w:rsidR="00F07D77" w:rsidRPr="00F07D77">
        <w:t>, 276–95.</w:t>
      </w:r>
    </w:p>
    <w:p w:rsidR="005E3E8D" w:rsidRPr="005E3E8D" w:rsidRDefault="005E3E8D" w:rsidP="000308C2">
      <w:pPr>
        <w:spacing w:before="120" w:line="360" w:lineRule="auto"/>
        <w:ind w:left="720" w:hanging="720"/>
      </w:pPr>
      <w:r>
        <w:t xml:space="preserve">Tidman, Paul, 1996, “Critical Reflection: An Alleged Epistemic Duty”, </w:t>
      </w:r>
      <w:r>
        <w:rPr>
          <w:i/>
        </w:rPr>
        <w:t>Analysis</w:t>
      </w:r>
      <w:r w:rsidR="00A34417">
        <w:t>56(4):268</w:t>
      </w:r>
      <w:r w:rsidR="00A34417" w:rsidRPr="00A34417">
        <w:t>–</w:t>
      </w:r>
      <w:r>
        <w:t>276.</w:t>
      </w:r>
    </w:p>
    <w:p w:rsidR="00604944" w:rsidRPr="001A639F" w:rsidRDefault="00604944" w:rsidP="000308C2">
      <w:pPr>
        <w:spacing w:before="120" w:line="360" w:lineRule="auto"/>
        <w:ind w:left="720" w:hanging="720"/>
      </w:pPr>
      <w:r>
        <w:t>Traiger</w:t>
      </w:r>
      <w:r w:rsidR="001A639F">
        <w:t>, Saul,</w:t>
      </w:r>
      <w:r>
        <w:t xml:space="preserve"> 2005</w:t>
      </w:r>
      <w:r w:rsidR="001A639F">
        <w:t xml:space="preserve">, “Reason Unhinged: Passion and Precipice from Montaigne to Hume”, in Jenkins, J., Whiting, J., and Williams, C. (eds.), </w:t>
      </w:r>
      <w:r w:rsidR="001A639F">
        <w:rPr>
          <w:i/>
        </w:rPr>
        <w:t>Persons and Passions: Essays in Honour of Annette Baier</w:t>
      </w:r>
      <w:r w:rsidR="001A639F">
        <w:t>.</w:t>
      </w:r>
    </w:p>
    <w:p w:rsidR="000308C2" w:rsidRDefault="000308C2" w:rsidP="000308C2">
      <w:pPr>
        <w:spacing w:before="120" w:line="360" w:lineRule="auto"/>
        <w:ind w:left="720" w:hanging="720"/>
      </w:pPr>
      <w:r w:rsidRPr="000308C2">
        <w:t xml:space="preserve">Urmson, J., 1958, “Saints and Heroes”, in </w:t>
      </w:r>
      <w:r w:rsidRPr="00BC23CF">
        <w:rPr>
          <w:i/>
        </w:rPr>
        <w:t>Essays in Moral Philosophy</w:t>
      </w:r>
      <w:r w:rsidRPr="000308C2">
        <w:t>, A. Melden (ed.), Seattle: University of Washington Press.</w:t>
      </w:r>
    </w:p>
    <w:p w:rsidR="00FB26E3" w:rsidRDefault="00FB26E3" w:rsidP="000308C2">
      <w:pPr>
        <w:spacing w:before="120" w:line="360" w:lineRule="auto"/>
        <w:ind w:left="720" w:hanging="720"/>
      </w:pPr>
      <w:r>
        <w:t xml:space="preserve">Vitz, Rico, 2009, “Doxastic Virtue in Hume’s Epistemology”, </w:t>
      </w:r>
      <w:r>
        <w:rPr>
          <w:i/>
        </w:rPr>
        <w:t>Hume Studies</w:t>
      </w:r>
      <w:r>
        <w:t xml:space="preserve"> 35</w:t>
      </w:r>
      <w:r w:rsidR="00986CD5">
        <w:t>:</w:t>
      </w:r>
      <w:r>
        <w:t xml:space="preserve"> 211</w:t>
      </w:r>
      <w:r w:rsidR="00A34417" w:rsidRPr="00A34417">
        <w:t>–</w:t>
      </w:r>
      <w:r>
        <w:t>29.</w:t>
      </w:r>
    </w:p>
    <w:p w:rsidR="00A34417" w:rsidRDefault="00A34417" w:rsidP="000308C2">
      <w:pPr>
        <w:spacing w:before="120" w:line="360" w:lineRule="auto"/>
        <w:ind w:left="720" w:hanging="720"/>
      </w:pPr>
      <w:r>
        <w:t xml:space="preserve">Walker, Matthew, 2013, “Reconciling the Stoic and the Sceptic: Hume on Philosophy as a Way of Life and the Plurality of Happy Lives’, </w:t>
      </w:r>
      <w:r>
        <w:rPr>
          <w:i/>
        </w:rPr>
        <w:t>British Journal for the History of Philosophy</w:t>
      </w:r>
      <w:r>
        <w:t xml:space="preserve"> 21:5, 879–901. </w:t>
      </w:r>
    </w:p>
    <w:p w:rsidR="00004C9D" w:rsidRPr="004421E9" w:rsidRDefault="00004C9D" w:rsidP="006D6A3E">
      <w:pPr>
        <w:spacing w:before="120" w:line="360" w:lineRule="auto"/>
        <w:ind w:left="720" w:hanging="720"/>
        <w:rPr>
          <w:lang w:val="en-US"/>
        </w:rPr>
      </w:pPr>
      <w:r>
        <w:t>Wolterstorff</w:t>
      </w:r>
      <w:r w:rsidR="004421E9">
        <w:t>, Nicholas,</w:t>
      </w:r>
      <w:r>
        <w:t xml:space="preserve"> 1996</w:t>
      </w:r>
      <w:r w:rsidR="004421E9">
        <w:t xml:space="preserve">, </w:t>
      </w:r>
      <w:r w:rsidR="004421E9">
        <w:rPr>
          <w:i/>
        </w:rPr>
        <w:t>John Locke and the Ethics of Belief</w:t>
      </w:r>
      <w:r w:rsidR="004421E9">
        <w:t>, Cambridge: Cambridge University Press.</w:t>
      </w:r>
    </w:p>
    <w:p w:rsidR="00D72F2C" w:rsidRPr="00902B16" w:rsidRDefault="000308C2" w:rsidP="000308C2">
      <w:pPr>
        <w:spacing w:before="120" w:line="360" w:lineRule="auto"/>
        <w:ind w:left="720" w:hanging="720"/>
      </w:pPr>
      <w:r w:rsidRPr="000308C2">
        <w:t xml:space="preserve">Zimmerman, M., 1996, </w:t>
      </w:r>
      <w:r w:rsidRPr="00BC23CF">
        <w:rPr>
          <w:i/>
        </w:rPr>
        <w:t>The Concept of Moral Obligation</w:t>
      </w:r>
      <w:r w:rsidRPr="000308C2">
        <w:t>, Cambridge: Cambridge University Press.</w:t>
      </w:r>
    </w:p>
    <w:sectPr w:rsidR="00D72F2C" w:rsidRPr="00902B16" w:rsidSect="00615D3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5B5" w:rsidRDefault="009305B5" w:rsidP="00513C79">
      <w:pPr>
        <w:spacing w:before="0" w:line="240" w:lineRule="auto"/>
      </w:pPr>
      <w:r>
        <w:separator/>
      </w:r>
    </w:p>
  </w:endnote>
  <w:endnote w:type="continuationSeparator" w:id="0">
    <w:p w:rsidR="009305B5" w:rsidRDefault="009305B5" w:rsidP="00513C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8C3" w:rsidRDefault="00744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842165"/>
      <w:docPartObj>
        <w:docPartGallery w:val="Page Numbers (Bottom of Page)"/>
        <w:docPartUnique/>
      </w:docPartObj>
    </w:sdtPr>
    <w:sdtEndPr>
      <w:rPr>
        <w:noProof/>
      </w:rPr>
    </w:sdtEndPr>
    <w:sdtContent>
      <w:p w:rsidR="007448C3" w:rsidRDefault="007448C3">
        <w:pPr>
          <w:pStyle w:val="Footer"/>
          <w:jc w:val="right"/>
        </w:pPr>
        <w:r>
          <w:fldChar w:fldCharType="begin"/>
        </w:r>
        <w:r>
          <w:instrText xml:space="preserve"> PAGE   \* MERGEFORMAT </w:instrText>
        </w:r>
        <w:r>
          <w:fldChar w:fldCharType="separate"/>
        </w:r>
        <w:r w:rsidR="00CB3F54">
          <w:rPr>
            <w:noProof/>
          </w:rPr>
          <w:t>31</w:t>
        </w:r>
        <w:r>
          <w:rPr>
            <w:noProof/>
          </w:rPr>
          <w:fldChar w:fldCharType="end"/>
        </w:r>
      </w:p>
    </w:sdtContent>
  </w:sdt>
  <w:p w:rsidR="007448C3" w:rsidRDefault="00744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8C3" w:rsidRDefault="00744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5B5" w:rsidRDefault="009305B5" w:rsidP="00513C79">
      <w:pPr>
        <w:spacing w:before="0" w:line="240" w:lineRule="auto"/>
      </w:pPr>
      <w:r>
        <w:separator/>
      </w:r>
    </w:p>
  </w:footnote>
  <w:footnote w:type="continuationSeparator" w:id="0">
    <w:p w:rsidR="009305B5" w:rsidRDefault="009305B5" w:rsidP="00513C79">
      <w:pPr>
        <w:spacing w:before="0" w:line="240" w:lineRule="auto"/>
      </w:pPr>
      <w:r>
        <w:continuationSeparator/>
      </w:r>
    </w:p>
  </w:footnote>
  <w:footnote w:id="1">
    <w:p w:rsidR="007448C3" w:rsidRPr="00EA059F" w:rsidRDefault="007448C3" w:rsidP="00A40BE3">
      <w:pPr>
        <w:pStyle w:val="FootnoteText"/>
        <w:spacing w:before="60"/>
        <w:rPr>
          <w:lang w:val="en-US"/>
        </w:rPr>
      </w:pPr>
      <w:r>
        <w:rPr>
          <w:rStyle w:val="FootnoteReference"/>
        </w:rPr>
        <w:footnoteRef/>
      </w:r>
      <w:r>
        <w:t xml:space="preserve"> </w:t>
      </w:r>
      <w:r w:rsidRPr="005A689C">
        <w:t xml:space="preserve">In the references to Hume’s texts throughout, ‘THN’ refers to the </w:t>
      </w:r>
      <w:r w:rsidRPr="005A689C">
        <w:rPr>
          <w:i/>
        </w:rPr>
        <w:t>Treatise of Human Nature</w:t>
      </w:r>
      <w:r w:rsidRPr="005A689C">
        <w:t xml:space="preserve">, ‘EHU’ to the </w:t>
      </w:r>
      <w:r w:rsidRPr="005A689C">
        <w:rPr>
          <w:i/>
        </w:rPr>
        <w:t>Enquiry Concerning Human Understanding</w:t>
      </w:r>
      <w:r w:rsidRPr="005A689C">
        <w:t>,</w:t>
      </w:r>
      <w:r>
        <w:t xml:space="preserve"> </w:t>
      </w:r>
      <w:r w:rsidRPr="005A689C">
        <w:t xml:space="preserve">‘EPM’ to the </w:t>
      </w:r>
      <w:r w:rsidRPr="005A689C">
        <w:rPr>
          <w:i/>
        </w:rPr>
        <w:t>Enquiry Concerning the Principles of Morals</w:t>
      </w:r>
      <w:r>
        <w:t xml:space="preserve">,  ‘NHR’ to the </w:t>
      </w:r>
      <w:r>
        <w:rPr>
          <w:i/>
        </w:rPr>
        <w:t>Natural History of Religion</w:t>
      </w:r>
      <w:r>
        <w:t xml:space="preserve">, and ‘DNR’ to the </w:t>
      </w:r>
      <w:r>
        <w:rPr>
          <w:i/>
        </w:rPr>
        <w:t>Dialogues on Natural Religion</w:t>
      </w:r>
      <w:r>
        <w:t xml:space="preserve">. </w:t>
      </w:r>
      <w:r w:rsidRPr="005A689C">
        <w:t xml:space="preserve">Arabic numerals refer to section and paragraph </w:t>
      </w:r>
      <w:r>
        <w:t>numbers (EHU, EPM, NHR, and DNR); or</w:t>
      </w:r>
      <w:r w:rsidRPr="005A689C">
        <w:t xml:space="preserve"> book, part, sectio</w:t>
      </w:r>
      <w:r>
        <w:t xml:space="preserve">n, and paragraph numbers (THN). </w:t>
      </w:r>
    </w:p>
  </w:footnote>
  <w:footnote w:id="2">
    <w:p w:rsidR="007448C3" w:rsidRPr="005A623A" w:rsidRDefault="007448C3" w:rsidP="00A40BE3">
      <w:pPr>
        <w:pStyle w:val="FootnoteText"/>
        <w:spacing w:before="60"/>
        <w:rPr>
          <w:lang w:val="en-US"/>
        </w:rPr>
      </w:pPr>
      <w:r>
        <w:rPr>
          <w:rStyle w:val="FootnoteReference"/>
        </w:rPr>
        <w:footnoteRef/>
      </w:r>
      <w:r>
        <w:t xml:space="preserve"> </w:t>
      </w:r>
      <w:r w:rsidR="00813729">
        <w:rPr>
          <w:lang w:val="en-US"/>
        </w:rPr>
        <w:t xml:space="preserve">As </w:t>
      </w:r>
      <w:r>
        <w:rPr>
          <w:lang w:val="en-US"/>
        </w:rPr>
        <w:t>Ains</w:t>
      </w:r>
      <w:r w:rsidR="00813729">
        <w:rPr>
          <w:lang w:val="en-US"/>
        </w:rPr>
        <w:t>lie (2015, p.121) points out, Hume</w:t>
      </w:r>
      <w:r>
        <w:rPr>
          <w:lang w:val="en-US"/>
        </w:rPr>
        <w:t xml:space="preserve"> </w:t>
      </w:r>
      <w:r w:rsidR="00813729">
        <w:rPr>
          <w:lang w:val="en-US"/>
        </w:rPr>
        <w:t xml:space="preserve">frequently </w:t>
      </w:r>
      <w:r>
        <w:rPr>
          <w:lang w:val="en-US"/>
        </w:rPr>
        <w:t xml:space="preserve">uses </w:t>
      </w:r>
      <w:r w:rsidR="00813729">
        <w:rPr>
          <w:lang w:val="en-US"/>
        </w:rPr>
        <w:t>the term ‘reflection’ (or ‘reflexion’) and its cognates</w:t>
      </w:r>
      <w:r>
        <w:rPr>
          <w:lang w:val="en-US"/>
        </w:rPr>
        <w:t xml:space="preserve"> to indicate mental introspection</w:t>
      </w:r>
      <w:r w:rsidR="00813729">
        <w:rPr>
          <w:lang w:val="en-US"/>
        </w:rPr>
        <w:t xml:space="preserve"> (e.g. THN 1.1.1.12, THN 1.3.8.15, THN 1.3.14.6)</w:t>
      </w:r>
      <w:r>
        <w:rPr>
          <w:lang w:val="en-US"/>
        </w:rPr>
        <w:t>, as well as using the word as part of a technical term with rega</w:t>
      </w:r>
      <w:r w:rsidR="00B56032">
        <w:rPr>
          <w:lang w:val="en-US"/>
        </w:rPr>
        <w:t>rd to his ‘impressions of reflex</w:t>
      </w:r>
      <w:r>
        <w:rPr>
          <w:lang w:val="en-US"/>
        </w:rPr>
        <w:t>ion’</w:t>
      </w:r>
      <w:r w:rsidR="00B56032">
        <w:rPr>
          <w:lang w:val="en-US"/>
        </w:rPr>
        <w:t xml:space="preserve"> (e.g. THN 1.1.2.1)</w:t>
      </w:r>
      <w:r>
        <w:rPr>
          <w:lang w:val="en-US"/>
        </w:rPr>
        <w:t>.</w:t>
      </w:r>
    </w:p>
  </w:footnote>
  <w:footnote w:id="3">
    <w:p w:rsidR="007448C3" w:rsidRPr="00EA059F" w:rsidRDefault="007448C3" w:rsidP="00A40BE3">
      <w:pPr>
        <w:pStyle w:val="FootnoteText"/>
        <w:spacing w:before="60"/>
        <w:rPr>
          <w:lang w:val="en-US"/>
        </w:rPr>
      </w:pPr>
      <w:r>
        <w:rPr>
          <w:rStyle w:val="FootnoteReference"/>
        </w:rPr>
        <w:footnoteRef/>
      </w:r>
      <w:r>
        <w:t xml:space="preserve"> </w:t>
      </w:r>
      <w:r>
        <w:rPr>
          <w:lang w:val="en-US"/>
        </w:rPr>
        <w:t>See Chisholm (1963), Heyd (1982),</w:t>
      </w:r>
      <w:r w:rsidRPr="00604944">
        <w:rPr>
          <w:sz w:val="24"/>
          <w:szCs w:val="22"/>
          <w:lang w:val="en-US"/>
        </w:rPr>
        <w:t xml:space="preserve"> </w:t>
      </w:r>
      <w:r>
        <w:rPr>
          <w:lang w:val="en-US"/>
        </w:rPr>
        <w:t xml:space="preserve">Schumaker (1972), and Zimmerman (1996) for some discussion of how to characterise supererogation. See </w:t>
      </w:r>
      <w:r w:rsidRPr="00604944">
        <w:rPr>
          <w:lang w:val="en-US"/>
        </w:rPr>
        <w:t>Feldman (1986</w:t>
      </w:r>
      <w:r>
        <w:rPr>
          <w:lang w:val="en-US"/>
        </w:rPr>
        <w:t>), Moore (1948), New (1974), and Pybus (1982) for some denials of supererogation.</w:t>
      </w:r>
    </w:p>
  </w:footnote>
  <w:footnote w:id="4">
    <w:p w:rsidR="004B5868" w:rsidRPr="009E03C0" w:rsidRDefault="004B5868" w:rsidP="004B5868">
      <w:pPr>
        <w:pStyle w:val="FootnoteText"/>
        <w:spacing w:before="60"/>
        <w:rPr>
          <w:lang w:val="en-US"/>
        </w:rPr>
      </w:pPr>
      <w:r>
        <w:rPr>
          <w:rStyle w:val="FootnoteReference"/>
        </w:rPr>
        <w:footnoteRef/>
      </w:r>
      <w:r>
        <w:t xml:space="preserve"> Besides Taylor, s</w:t>
      </w:r>
      <w:r>
        <w:rPr>
          <w:lang w:val="en-US"/>
        </w:rPr>
        <w:t>ee Swanton (2007) for a defense of the virtue-ethical reading of Hume, and Swanton (forthcoming) for an excellent discussion on reading Hume as a virtue ethicist. Hursthouse (1999) also reads Hume through the lenses of virtue ethics, although she finds his account to differ from the Aristotelian and Epicurean tradition. With respect to Hume’s epistemology, see Schafer (2014) for a virtue-theoretic approach. Baceski (2013) explores a virtue epistemologist reading of Hume by drawing parallels between Hume’s notion of the art critic and the wise man. Other readings of Hume along virtue epistemological lines include Boyle (2012) and Vitz (2009).</w:t>
      </w:r>
    </w:p>
  </w:footnote>
  <w:footnote w:id="5">
    <w:p w:rsidR="007448C3" w:rsidRPr="006E6C6C" w:rsidRDefault="007448C3" w:rsidP="00A40BE3">
      <w:pPr>
        <w:pStyle w:val="FootnoteText"/>
        <w:spacing w:before="60"/>
        <w:rPr>
          <w:lang w:val="en-US"/>
        </w:rPr>
      </w:pPr>
      <w:r>
        <w:rPr>
          <w:rStyle w:val="FootnoteReference"/>
        </w:rPr>
        <w:footnoteRef/>
      </w:r>
      <w:r>
        <w:t xml:space="preserve"> </w:t>
      </w:r>
      <w:r>
        <w:rPr>
          <w:lang w:val="en-US"/>
        </w:rPr>
        <w:t>This is consistent with Taylor’s claim above that obligation is not a ‘central concept’ to his moral theory.</w:t>
      </w:r>
    </w:p>
  </w:footnote>
  <w:footnote w:id="6">
    <w:p w:rsidR="007448C3" w:rsidRPr="003620F0" w:rsidRDefault="007448C3" w:rsidP="00A40BE3">
      <w:pPr>
        <w:pStyle w:val="FootnoteText"/>
        <w:spacing w:before="60"/>
        <w:rPr>
          <w:lang w:val="en-US"/>
        </w:rPr>
      </w:pPr>
      <w:r>
        <w:rPr>
          <w:rStyle w:val="FootnoteReference"/>
        </w:rPr>
        <w:footnoteRef/>
      </w:r>
      <w:r>
        <w:t xml:space="preserve"> </w:t>
      </w:r>
      <w:r w:rsidR="003112B3">
        <w:rPr>
          <w:lang w:val="en-US"/>
        </w:rPr>
        <w:t>Darwall (1993, p.424–</w:t>
      </w:r>
      <w:r>
        <w:rPr>
          <w:lang w:val="en-US"/>
        </w:rPr>
        <w:t>6) distinguishes three notions of obligation in Hume: ‘natural’, ‘moral’, and ‘rule-obligation’, which is specific to justice, and takes THN 3.2.5.4 to concern the moral species.</w:t>
      </w:r>
    </w:p>
  </w:footnote>
  <w:footnote w:id="7">
    <w:p w:rsidR="007448C3" w:rsidRPr="00E17ADA" w:rsidRDefault="007448C3" w:rsidP="00A40BE3">
      <w:pPr>
        <w:pStyle w:val="FootnoteText"/>
        <w:spacing w:before="60"/>
        <w:rPr>
          <w:lang w:val="en-US"/>
        </w:rPr>
      </w:pPr>
      <w:r>
        <w:rPr>
          <w:rStyle w:val="FootnoteReference"/>
        </w:rPr>
        <w:footnoteRef/>
      </w:r>
      <w:r>
        <w:t xml:space="preserve"> </w:t>
      </w:r>
      <w:r>
        <w:rPr>
          <w:lang w:val="en-US"/>
        </w:rPr>
        <w:t>Hume makes the similar point that we laud anger and hatred when they are present in lower degrees than usually found in humanity (THN 3.3.3.7).</w:t>
      </w:r>
    </w:p>
  </w:footnote>
  <w:footnote w:id="8">
    <w:p w:rsidR="007448C3" w:rsidRPr="00DA5F48" w:rsidRDefault="007448C3" w:rsidP="00E256CA">
      <w:pPr>
        <w:pStyle w:val="FootnoteText"/>
        <w:spacing w:before="60"/>
        <w:rPr>
          <w:lang w:val="en-US"/>
        </w:rPr>
      </w:pPr>
      <w:r>
        <w:rPr>
          <w:rStyle w:val="FootnoteReference"/>
        </w:rPr>
        <w:footnoteRef/>
      </w:r>
      <w:r>
        <w:t xml:space="preserve"> </w:t>
      </w:r>
      <w:r>
        <w:rPr>
          <w:lang w:val="en-US"/>
        </w:rPr>
        <w:t xml:space="preserve">Human nature in general might of course have weak motives to, say, sacrifice oneself for the greater good (which are overwhelmed by other motives, e.g. the desire for self-preservation), but these motives will not be ‘capable of producing the action’ (THN 3.2.5.6), as Hume requires. </w:t>
      </w:r>
      <w:r>
        <w:t xml:space="preserve">Thus, such actions cannot be required of us as a duty, which is an intuitive result. Thanks to </w:t>
      </w:r>
      <w:r w:rsidR="00392A85">
        <w:t>Jonathan Cottrell</w:t>
      </w:r>
      <w:r w:rsidR="000231AA">
        <w:t xml:space="preserve"> and Don Garrett</w:t>
      </w:r>
      <w:r w:rsidR="00392A85">
        <w:t xml:space="preserve"> </w:t>
      </w:r>
      <w:r>
        <w:t>for discussion.</w:t>
      </w:r>
    </w:p>
  </w:footnote>
  <w:footnote w:id="9">
    <w:p w:rsidR="00F015BA" w:rsidRPr="00F015BA" w:rsidRDefault="00F015BA" w:rsidP="00F015BA">
      <w:pPr>
        <w:pStyle w:val="FootnoteText"/>
        <w:spacing w:before="60"/>
        <w:rPr>
          <w:lang w:val="en-US"/>
        </w:rPr>
      </w:pPr>
      <w:r>
        <w:rPr>
          <w:rStyle w:val="FootnoteReference"/>
        </w:rPr>
        <w:footnoteRef/>
      </w:r>
      <w:r>
        <w:t xml:space="preserve"> Hume does raise a number of sceptical considerat</w:t>
      </w:r>
      <w:r w:rsidR="0070234D">
        <w:t>ions in THN 1.4.7.3–5, but the Dangerous D</w:t>
      </w:r>
      <w:r>
        <w:t xml:space="preserve">ilemma is what </w:t>
      </w:r>
      <w:r w:rsidR="00EE3B4F">
        <w:t>drives forward the dialectic</w:t>
      </w:r>
      <w:r>
        <w:t xml:space="preserve"> and structures the section. And, as we shall see, a solution to the Dangerous Dilemma will also offer a resolution to the other sceptical worries: we should address them in the same manner that we address scepticism with regard to reason.</w:t>
      </w:r>
      <w:r w:rsidR="0070234D">
        <w:t xml:space="preserve"> This is not a unique take on THN 1.4.7 on my part, for instance, approaches based on the Title Principle,</w:t>
      </w:r>
      <w:r w:rsidR="0070234D" w:rsidRPr="0070234D">
        <w:rPr>
          <w:sz w:val="24"/>
          <w:szCs w:val="22"/>
        </w:rPr>
        <w:t xml:space="preserve"> </w:t>
      </w:r>
      <w:r w:rsidR="0070234D" w:rsidRPr="0070234D">
        <w:t>such as Garrett (1997, 2015)</w:t>
      </w:r>
      <w:r w:rsidR="0070234D">
        <w:t>, adopt a similar stance.</w:t>
      </w:r>
    </w:p>
  </w:footnote>
  <w:footnote w:id="10">
    <w:p w:rsidR="00A447A2" w:rsidRPr="00A447A2" w:rsidRDefault="00A447A2" w:rsidP="00A447A2">
      <w:pPr>
        <w:pStyle w:val="FootnoteText"/>
        <w:spacing w:before="60"/>
        <w:rPr>
          <w:lang w:val="en-US"/>
        </w:rPr>
      </w:pPr>
      <w:r>
        <w:rPr>
          <w:rStyle w:val="FootnoteReference"/>
        </w:rPr>
        <w:footnoteRef/>
      </w:r>
      <w:r>
        <w:t xml:space="preserve"> This reading of the Dangerous Dilemma </w:t>
      </w:r>
      <w:r w:rsidR="004B5868">
        <w:t xml:space="preserve">as founded on reflection (and the lack thereof) </w:t>
      </w:r>
      <w:r>
        <w:t>is also defended in Ievers (2012, p.146)</w:t>
      </w:r>
      <w:r w:rsidR="003B0D7C">
        <w:t>, although she does not frame the issue in the distinctly deontological way that I do.</w:t>
      </w:r>
    </w:p>
  </w:footnote>
  <w:footnote w:id="11">
    <w:p w:rsidR="007448C3" w:rsidRPr="00B021B6" w:rsidRDefault="007448C3" w:rsidP="00A40BE3">
      <w:pPr>
        <w:pStyle w:val="FootnoteText"/>
        <w:spacing w:before="60"/>
        <w:rPr>
          <w:lang w:val="en-US"/>
        </w:rPr>
      </w:pPr>
      <w:r>
        <w:rPr>
          <w:rStyle w:val="FootnoteReference"/>
        </w:rPr>
        <w:footnoteRef/>
      </w:r>
      <w:r>
        <w:t xml:space="preserve"> </w:t>
      </w:r>
      <w:r w:rsidRPr="003C0084">
        <w:t xml:space="preserve">The reflective nature of the second influence is </w:t>
      </w:r>
      <w:r w:rsidR="004B5868">
        <w:t>noted in</w:t>
      </w:r>
      <w:r w:rsidRPr="003C0084">
        <w:t xml:space="preserve"> Baceski (2013, p.240), Boehm (2013, p.227), Falkenstein (1997, particularly p.47 and p.49), Garrett (1997, p.205), Hearn (1970, particularly p.410 and p.412), Hickerson (20</w:t>
      </w:r>
      <w:r w:rsidR="003112B3">
        <w:t>13, p.1146), Morris (2006, p.87–88), Norton (1982, pp.208–</w:t>
      </w:r>
      <w:r w:rsidRPr="003C0084">
        <w:t>221), Owen (1999, p.149 and p</w:t>
      </w:r>
      <w:r w:rsidR="003112B3">
        <w:t>.213), and Traiger (2005, p.110–</w:t>
      </w:r>
      <w:r w:rsidRPr="003C0084">
        <w:t>12).</w:t>
      </w:r>
      <w:r>
        <w:t xml:space="preserve"> </w:t>
      </w:r>
    </w:p>
  </w:footnote>
  <w:footnote w:id="12">
    <w:p w:rsidR="007448C3" w:rsidRPr="00791604" w:rsidRDefault="007448C3" w:rsidP="00A40BE3">
      <w:pPr>
        <w:pStyle w:val="FootnoteText"/>
        <w:spacing w:before="60"/>
        <w:rPr>
          <w:lang w:val="en-US"/>
        </w:rPr>
      </w:pPr>
      <w:r>
        <w:rPr>
          <w:rStyle w:val="FootnoteReference"/>
        </w:rPr>
        <w:footnoteRef/>
      </w:r>
      <w:r>
        <w:t xml:space="preserve"> See for instance Durland (2011, p.66), Garrett (2015, p.226),</w:t>
      </w:r>
      <w:r w:rsidRPr="00DA7D7F">
        <w:rPr>
          <w:sz w:val="24"/>
          <w:szCs w:val="22"/>
        </w:rPr>
        <w:t xml:space="preserve"> </w:t>
      </w:r>
      <w:r w:rsidRPr="00DA7D7F">
        <w:t xml:space="preserve">Loeb (2002, p.86), </w:t>
      </w:r>
      <w:r>
        <w:t xml:space="preserve">and </w:t>
      </w:r>
      <w:r w:rsidRPr="00DA7D7F">
        <w:t>Morris (2000, p.22),</w:t>
      </w:r>
      <w:r>
        <w:t xml:space="preserve"> among others. Note that, f</w:t>
      </w:r>
      <w:r>
        <w:rPr>
          <w:lang w:val="en-US"/>
        </w:rPr>
        <w:t>or the purposes of this paper, I do not pass judgment on whether H</w:t>
      </w:r>
      <w:r w:rsidR="001E25BB">
        <w:rPr>
          <w:lang w:val="en-US"/>
        </w:rPr>
        <w:t>ume’s argument in THN 1.4.1 is sound</w:t>
      </w:r>
      <w:r>
        <w:rPr>
          <w:lang w:val="en-US"/>
        </w:rPr>
        <w:t>. All I require is that, come THN 1.4.7, Hume is convinced of its correctness.</w:t>
      </w:r>
    </w:p>
  </w:footnote>
  <w:footnote w:id="13">
    <w:p w:rsidR="006F1817" w:rsidRPr="006F1817" w:rsidRDefault="006F1817" w:rsidP="006F1817">
      <w:pPr>
        <w:pStyle w:val="FootnoteText"/>
        <w:spacing w:before="60"/>
        <w:rPr>
          <w:lang w:val="en-US"/>
        </w:rPr>
      </w:pPr>
      <w:r>
        <w:rPr>
          <w:rStyle w:val="FootnoteReference"/>
        </w:rPr>
        <w:footnoteRef/>
      </w:r>
      <w:r>
        <w:t xml:space="preserve"> </w:t>
      </w:r>
      <w:r>
        <w:rPr>
          <w:lang w:val="en-US"/>
        </w:rPr>
        <w:t>An exc</w:t>
      </w:r>
      <w:r w:rsidR="003112B3">
        <w:rPr>
          <w:lang w:val="en-US"/>
        </w:rPr>
        <w:t>eption is Schmitt (2014, pp.320–</w:t>
      </w:r>
      <w:r>
        <w:rPr>
          <w:lang w:val="en-US"/>
        </w:rPr>
        <w:t xml:space="preserve">330), who takes the sceptical worry of THN 1.4.1 to stem from what he calls the ‘Norm of Reduction’, which </w:t>
      </w:r>
      <w:r w:rsidR="00917123">
        <w:rPr>
          <w:lang w:val="en-US"/>
        </w:rPr>
        <w:t>is broadly deontic in nature</w:t>
      </w:r>
      <w:r>
        <w:rPr>
          <w:lang w:val="en-US"/>
        </w:rPr>
        <w:t>.</w:t>
      </w:r>
    </w:p>
  </w:footnote>
  <w:footnote w:id="14">
    <w:p w:rsidR="007448C3" w:rsidRPr="00DA1387" w:rsidRDefault="007448C3" w:rsidP="00A40BE3">
      <w:pPr>
        <w:pStyle w:val="FootnoteText"/>
        <w:spacing w:before="60"/>
        <w:rPr>
          <w:lang w:val="en-US"/>
        </w:rPr>
      </w:pPr>
      <w:r>
        <w:rPr>
          <w:rStyle w:val="FootnoteReference"/>
        </w:rPr>
        <w:footnoteRef/>
      </w:r>
      <w:r>
        <w:t xml:space="preserve"> </w:t>
      </w:r>
      <w:r>
        <w:rPr>
          <w:lang w:val="en-US"/>
        </w:rPr>
        <w:t xml:space="preserve">I do not mean to claim that Hume always refers to duties in making statements involving ‘ought’. For instance, </w:t>
      </w:r>
      <w:r w:rsidR="006727E6">
        <w:rPr>
          <w:lang w:val="en-US"/>
        </w:rPr>
        <w:t xml:space="preserve">in my </w:t>
      </w:r>
      <w:r w:rsidR="00392A85">
        <w:rPr>
          <w:lang w:val="en-US"/>
        </w:rPr>
        <w:t>Qu (2019)</w:t>
      </w:r>
      <w:r w:rsidR="006727E6">
        <w:rPr>
          <w:lang w:val="en-US"/>
        </w:rPr>
        <w:t xml:space="preserve">, </w:t>
      </w:r>
      <w:r>
        <w:rPr>
          <w:lang w:val="en-US"/>
        </w:rPr>
        <w:t>I do not read Hume’s passage on the is/ought distinction (THN 3.1.1.27) as being specifically about duties; this is in line with</w:t>
      </w:r>
      <w:r w:rsidRPr="00DA1387">
        <w:rPr>
          <w:sz w:val="24"/>
          <w:szCs w:val="22"/>
          <w:lang w:val="en-US"/>
        </w:rPr>
        <w:t xml:space="preserve"> </w:t>
      </w:r>
      <w:r w:rsidRPr="00DA1387">
        <w:rPr>
          <w:lang w:val="en-US"/>
        </w:rPr>
        <w:t>Falk (1976, p.360) and Sturgeon (2001, p.9</w:t>
      </w:r>
      <w:r>
        <w:rPr>
          <w:lang w:val="en-US"/>
        </w:rPr>
        <w:t xml:space="preserve">). </w:t>
      </w:r>
      <w:r w:rsidR="00C3669D" w:rsidRPr="00C3669D">
        <w:rPr>
          <w:lang w:val="en-US"/>
        </w:rPr>
        <w:t xml:space="preserve">I believe that context makes clear that Hume’s talk of ‘ought’ in THN 1.4.1.5 clearly indicates that he thinks duties are involved, given what else he says in this section (e.g. ‘all the rules of logic require…’ in THN 1.4.1.6). Might it be objected that Hume’s use of deontic language </w:t>
      </w:r>
      <w:r w:rsidR="00C3669D">
        <w:rPr>
          <w:lang w:val="en-US"/>
        </w:rPr>
        <w:t xml:space="preserve">more generally (including his talk of rules, requirements, and must) </w:t>
      </w:r>
      <w:r w:rsidR="00C3669D" w:rsidRPr="00C3669D">
        <w:rPr>
          <w:lang w:val="en-US"/>
        </w:rPr>
        <w:t>in THN 1.4.1 should not be taken at face value? Without doing so, it is difficult to make sense of why e</w:t>
      </w:r>
      <w:r w:rsidR="00C3669D">
        <w:rPr>
          <w:lang w:val="en-US"/>
        </w:rPr>
        <w:t>xactly the sceptical scenario threatens, as noted above in the main text</w:t>
      </w:r>
      <w:r w:rsidR="00C3669D" w:rsidRPr="00C3669D">
        <w:rPr>
          <w:lang w:val="en-US"/>
        </w:rPr>
        <w:t xml:space="preserve">. </w:t>
      </w:r>
      <w:r w:rsidR="00C3669D">
        <w:rPr>
          <w:lang w:val="en-US"/>
        </w:rPr>
        <w:t>We are not naturally or psychologically compelled to form these higher-order judgments, and it seems the most natural explanation of why the scepti</w:t>
      </w:r>
      <w:r w:rsidR="00917123">
        <w:rPr>
          <w:lang w:val="en-US"/>
        </w:rPr>
        <w:t>cal scenario looms large is due</w:t>
      </w:r>
      <w:r w:rsidR="00C3669D">
        <w:rPr>
          <w:lang w:val="en-US"/>
        </w:rPr>
        <w:t xml:space="preserve"> to a</w:t>
      </w:r>
      <w:r w:rsidR="006727E6">
        <w:rPr>
          <w:lang w:val="en-US"/>
        </w:rPr>
        <w:t>n ostensible</w:t>
      </w:r>
      <w:r w:rsidR="00C3669D">
        <w:rPr>
          <w:lang w:val="en-US"/>
        </w:rPr>
        <w:t xml:space="preserve"> requirement that we form these higher-order judgments.</w:t>
      </w:r>
    </w:p>
  </w:footnote>
  <w:footnote w:id="15">
    <w:p w:rsidR="00921371" w:rsidRPr="00921371" w:rsidRDefault="00921371" w:rsidP="00921371">
      <w:pPr>
        <w:pStyle w:val="FootnoteText"/>
        <w:spacing w:before="60"/>
        <w:rPr>
          <w:lang w:val="en-US"/>
        </w:rPr>
      </w:pPr>
      <w:r>
        <w:rPr>
          <w:rStyle w:val="FootnoteReference"/>
        </w:rPr>
        <w:footnoteRef/>
      </w:r>
      <w:r>
        <w:t xml:space="preserve"> </w:t>
      </w:r>
      <w:r>
        <w:rPr>
          <w:lang w:val="en-US"/>
        </w:rPr>
        <w:t>A worry might be raised about whether a deontological framework can be imputed to Hume with regard to beliefs, given his doxastic involuntarism (THN App.2; Abstract 20–21; EHU 5</w:t>
      </w:r>
      <w:r w:rsidR="00392A85">
        <w:rPr>
          <w:lang w:val="en-US"/>
        </w:rPr>
        <w:t>.</w:t>
      </w:r>
      <w:r>
        <w:rPr>
          <w:lang w:val="en-US"/>
        </w:rPr>
        <w:t>10–11)</w:t>
      </w:r>
      <w:r w:rsidR="00392A85">
        <w:rPr>
          <w:lang w:val="en-US"/>
        </w:rPr>
        <w:t>:</w:t>
      </w:r>
      <w:r>
        <w:rPr>
          <w:lang w:val="en-US"/>
        </w:rPr>
        <w:t xml:space="preserve"> if ought implies can with regard to beliefs, then if we cannot change our beliefs, it follows that we </w:t>
      </w:r>
      <w:r w:rsidR="00392A85">
        <w:rPr>
          <w:lang w:val="en-US"/>
        </w:rPr>
        <w:t>should not</w:t>
      </w:r>
      <w:r>
        <w:rPr>
          <w:lang w:val="en-US"/>
        </w:rPr>
        <w:t xml:space="preserve"> believe otherwise than we do. I have argued elsewhere that Hume rejects ought implies can with regard to our beliefs (Qu 2017), and also that Hume rejects ought implies can more generally (Qu 2019</w:t>
      </w:r>
      <w:r w:rsidR="00392A85">
        <w:rPr>
          <w:lang w:val="en-US"/>
        </w:rPr>
        <w:t>, p.41</w:t>
      </w:r>
      <w:r>
        <w:rPr>
          <w:lang w:val="en-US"/>
        </w:rPr>
        <w:t xml:space="preserve">). In any case, even if one subscribes to ought implies can, it should be noted that this paper reads Hume as concerned with duties of reflection rather than assent, and reflection is something that we do have direct voluntary control over, even if assent is not. </w:t>
      </w:r>
    </w:p>
  </w:footnote>
  <w:footnote w:id="16">
    <w:p w:rsidR="007448C3" w:rsidRPr="007262F4" w:rsidRDefault="007448C3" w:rsidP="007262F4">
      <w:pPr>
        <w:pStyle w:val="FootnoteText"/>
        <w:spacing w:before="60"/>
        <w:rPr>
          <w:lang w:val="en-SG"/>
        </w:rPr>
      </w:pPr>
      <w:r>
        <w:rPr>
          <w:rStyle w:val="FootnoteReference"/>
        </w:rPr>
        <w:footnoteRef/>
      </w:r>
      <w:r>
        <w:t xml:space="preserve"> </w:t>
      </w:r>
      <w:r>
        <w:rPr>
          <w:lang w:val="en-SG"/>
        </w:rPr>
        <w:t xml:space="preserve">Note that these rules play a role both in the realm of common life and also science and philosophy. On the one hand, they are ‘all the logic’ that Hume employs in his philosophical reasoning, and are crucial to both ‘natural philosophy’ and moral’. On the other, they </w:t>
      </w:r>
      <w:r>
        <w:rPr>
          <w:lang w:val="en-US"/>
        </w:rPr>
        <w:t>‘</w:t>
      </w:r>
      <w:r w:rsidRPr="00DA79D5">
        <w:t>might have been supply’d by the natural principles of our understanding</w:t>
      </w:r>
      <w:r w:rsidR="001E25BB">
        <w:t>’, and</w:t>
      </w:r>
      <w:r>
        <w:t xml:space="preserve"> the ‘s</w:t>
      </w:r>
      <w:r w:rsidRPr="00DA79D5">
        <w:t>cholastic head-pieces and logicians shew no such superiority above the mere vulgar</w:t>
      </w:r>
      <w:r>
        <w:t xml:space="preserve">’ in this respect (THN 1.3.15.11). </w:t>
      </w:r>
      <w:r w:rsidR="003A146E">
        <w:t>As obligation</w:t>
      </w:r>
      <w:r w:rsidR="001E25BB">
        <w:t>s</w:t>
      </w:r>
      <w:r w:rsidR="003A146E">
        <w:t xml:space="preserve"> to reflect,</w:t>
      </w:r>
      <w:r>
        <w:t xml:space="preserve"> they apply to all cognitive pursuits, whether humdrum or intellectual. </w:t>
      </w:r>
    </w:p>
  </w:footnote>
  <w:footnote w:id="17">
    <w:p w:rsidR="007448C3" w:rsidRPr="00574066" w:rsidRDefault="007448C3" w:rsidP="00A40BE3">
      <w:pPr>
        <w:pStyle w:val="FootnoteText"/>
        <w:spacing w:before="60"/>
        <w:rPr>
          <w:lang w:val="en-US"/>
        </w:rPr>
      </w:pPr>
      <w:r>
        <w:rPr>
          <w:rStyle w:val="FootnoteReference"/>
        </w:rPr>
        <w:footnoteRef/>
      </w:r>
      <w:r>
        <w:t xml:space="preserve"> </w:t>
      </w:r>
      <w:r>
        <w:rPr>
          <w:lang w:val="en-US"/>
        </w:rPr>
        <w:t>Collier (2008, p.311) also highlights the importance of these rules for avoiding what he calls ‘the fallacy of substitution’.</w:t>
      </w:r>
    </w:p>
  </w:footnote>
  <w:footnote w:id="18">
    <w:p w:rsidR="007448C3" w:rsidRPr="00CD5E44" w:rsidRDefault="007448C3" w:rsidP="00A40BE3">
      <w:pPr>
        <w:pStyle w:val="FootnoteText"/>
        <w:spacing w:before="60"/>
      </w:pPr>
      <w:r>
        <w:rPr>
          <w:rStyle w:val="FootnoteReference"/>
        </w:rPr>
        <w:footnoteRef/>
      </w:r>
      <w:r>
        <w:t xml:space="preserve"> </w:t>
      </w:r>
      <w:r w:rsidRPr="00CD5E44">
        <w:t>Hume</w:t>
      </w:r>
      <w:r>
        <w:t xml:space="preserve"> also</w:t>
      </w:r>
      <w:r w:rsidRPr="00CD5E44">
        <w:t xml:space="preserve"> points out that the second influence finds the first influence to be ‘of an irregular nature, and destructive of all the most establish’d principles of reasonings’, in contrast with the ‘more general and authentic operations of the understanding’ (THN 1.3.13.12). Indeed, this first influence is described as ‘capricious and uncertain’, while the second influence is ‘extensive and constant’ (THN 1.3.13.11). In this, Hume seems to be </w:t>
      </w:r>
      <w:r w:rsidR="007A1E6C">
        <w:t>anticipating</w:t>
      </w:r>
      <w:r w:rsidRPr="00CD5E44">
        <w:t xml:space="preserve"> his later epistemic distinction between the laudable ‘permanent, irresistible, and universal’ principles of the imagination, from the blameable ‘changeable, weak and irregular ones’ (THN 1.4.4.1).</w:t>
      </w:r>
    </w:p>
  </w:footnote>
  <w:footnote w:id="19">
    <w:p w:rsidR="007448C3" w:rsidRPr="00E17BF3" w:rsidRDefault="007448C3" w:rsidP="00A40BE3">
      <w:pPr>
        <w:pStyle w:val="FootnoteText"/>
        <w:spacing w:before="60"/>
        <w:rPr>
          <w:lang w:val="en-US"/>
        </w:rPr>
      </w:pPr>
      <w:r>
        <w:rPr>
          <w:rStyle w:val="FootnoteReference"/>
        </w:rPr>
        <w:footnoteRef/>
      </w:r>
      <w:r>
        <w:t xml:space="preserve"> </w:t>
      </w:r>
      <w:r>
        <w:rPr>
          <w:lang w:val="en-US"/>
        </w:rPr>
        <w:t>Hume also discusses the role of the imagination with regard to the first influence of general rules in THN 1.3.13.9.</w:t>
      </w:r>
    </w:p>
  </w:footnote>
  <w:footnote w:id="20">
    <w:p w:rsidR="00DD416B" w:rsidRPr="001A639F" w:rsidRDefault="00DD416B" w:rsidP="00DD416B">
      <w:pPr>
        <w:pStyle w:val="FootnoteText"/>
        <w:spacing w:before="60"/>
        <w:rPr>
          <w:lang w:val="en-US"/>
        </w:rPr>
      </w:pPr>
      <w:r>
        <w:rPr>
          <w:rStyle w:val="FootnoteReference"/>
        </w:rPr>
        <w:footnoteRef/>
      </w:r>
      <w:r>
        <w:t xml:space="preserve"> This provides a novel way of reading </w:t>
      </w:r>
      <w:r w:rsidRPr="001A639F">
        <w:t>Hume’s description of the</w:t>
      </w:r>
      <w:r w:rsidR="0070234D">
        <w:t xml:space="preserve"> D</w:t>
      </w:r>
      <w:r>
        <w:t>angerous</w:t>
      </w:r>
      <w:r w:rsidR="0070234D">
        <w:t xml:space="preserve"> D</w:t>
      </w:r>
      <w:r w:rsidRPr="001A639F">
        <w:t>ilemma as a choice ‘betwixt a false reason and none at all’ (THN 1.4.7.7).</w:t>
      </w:r>
      <w:r>
        <w:t xml:space="preserve"> I had traditionally understood ‘false reason’ as referring to credulity, while taking ‘no reason at all’ to refer to excessive scepticism (c.f. my </w:t>
      </w:r>
      <w:r w:rsidR="007A1E6C">
        <w:t>Qu (2019, p.503)</w:t>
      </w:r>
      <w:r>
        <w:t>). But given the above, there is another way to understand this claim. Perhaps t</w:t>
      </w:r>
      <w:r w:rsidRPr="001A639F">
        <w:t>he ‘false reason’ horn</w:t>
      </w:r>
      <w:r>
        <w:t xml:space="preserve"> refers to</w:t>
      </w:r>
      <w:r w:rsidRPr="001A639F">
        <w:t xml:space="preserve"> the deontological claim that we always </w:t>
      </w:r>
      <w:r>
        <w:t xml:space="preserve">have a duty to reflect, which provides a </w:t>
      </w:r>
      <w:r w:rsidRPr="004D24E6">
        <w:rPr>
          <w:i/>
        </w:rPr>
        <w:t>reason</w:t>
      </w:r>
      <w:r>
        <w:t xml:space="preserve"> to reflect that is in fact false</w:t>
      </w:r>
      <w:r w:rsidRPr="001A639F">
        <w:t xml:space="preserve">; on the other hand, the ‘no reason at all’ horn is simply the rejection of any duty to reflect, which leaves us with no </w:t>
      </w:r>
      <w:r w:rsidRPr="001A639F">
        <w:rPr>
          <w:i/>
        </w:rPr>
        <w:t>reason</w:t>
      </w:r>
      <w:r w:rsidRPr="001A639F">
        <w:t xml:space="preserve"> to undertake any reflection.</w:t>
      </w:r>
      <w:r>
        <w:t xml:space="preserve"> In any case, my interpretation is consonant with either reading.</w:t>
      </w:r>
    </w:p>
  </w:footnote>
  <w:footnote w:id="21">
    <w:p w:rsidR="007448C3" w:rsidRPr="00B433F2" w:rsidRDefault="007448C3" w:rsidP="00EC25ED">
      <w:pPr>
        <w:pStyle w:val="FootnoteText"/>
        <w:spacing w:before="60"/>
        <w:rPr>
          <w:lang w:val="en-US"/>
        </w:rPr>
      </w:pPr>
      <w:r>
        <w:rPr>
          <w:rStyle w:val="FootnoteReference"/>
        </w:rPr>
        <w:footnoteRef/>
      </w:r>
      <w:r>
        <w:t xml:space="preserve"> </w:t>
      </w:r>
      <w:r>
        <w:rPr>
          <w:lang w:val="en-US"/>
        </w:rPr>
        <w:t>Of course, sceptical interpretations will take Hume to reject excessive scepticism, and endorse philosophy and common-life beliefs, in only a very weak sense. For instance, Broughton (2004) argues that Hume can only continue with his philosophical project in a ‘detached’ manner (p.550).</w:t>
      </w:r>
    </w:p>
  </w:footnote>
  <w:footnote w:id="22">
    <w:p w:rsidR="00AD0346" w:rsidRPr="00E94D7C" w:rsidRDefault="00AD0346" w:rsidP="00AD0346">
      <w:pPr>
        <w:pStyle w:val="FootnoteText"/>
        <w:spacing w:before="60"/>
      </w:pPr>
      <w:r>
        <w:rPr>
          <w:rStyle w:val="FootnoteReference"/>
        </w:rPr>
        <w:footnoteRef/>
      </w:r>
      <w:r>
        <w:t xml:space="preserve"> </w:t>
      </w:r>
      <w:r w:rsidR="00E94D7C">
        <w:t>It might be queried if the sense</w:t>
      </w:r>
      <w:r w:rsidR="007A1E6C">
        <w:t xml:space="preserve"> of</w:t>
      </w:r>
      <w:r w:rsidRPr="00AD0346">
        <w:t xml:space="preserve"> ‘ought’ in THN 1.4.7.7</w:t>
      </w:r>
      <w:r w:rsidR="00BA5922">
        <w:t xml:space="preserve"> above</w:t>
      </w:r>
      <w:r w:rsidR="00E94D7C">
        <w:t>, and the sense in which philosophy is optional (as we will see shortly)</w:t>
      </w:r>
      <w:r w:rsidR="007A1E6C">
        <w:t>,</w:t>
      </w:r>
      <w:r w:rsidRPr="00AD0346">
        <w:t xml:space="preserve"> should be read as epistemic, rather than, sa</w:t>
      </w:r>
      <w:r w:rsidR="00E94D7C">
        <w:t>y, moral or pragmatic</w:t>
      </w:r>
      <w:r w:rsidRPr="00AD0346">
        <w:t>.</w:t>
      </w:r>
      <w:r w:rsidR="00E94D7C">
        <w:t xml:space="preserve"> This is an instance of a moral general question: why should we see Hume as offering an epistemic response to scepticism?</w:t>
      </w:r>
      <w:r w:rsidR="00F72D96">
        <w:t xml:space="preserve"> If Hume does not offer any such response, then he is an unmitigated epistemic sceptic: he thinks there is no epistemic reason to hold the beliefs we do.</w:t>
      </w:r>
      <w:r w:rsidR="00E94D7C">
        <w:t xml:space="preserve"> </w:t>
      </w:r>
      <w:r w:rsidR="00BA5922">
        <w:t>I cannot</w:t>
      </w:r>
      <w:r w:rsidR="00E94D7C">
        <w:t xml:space="preserve"> provide a </w:t>
      </w:r>
      <w:r w:rsidR="00BA5922">
        <w:t>substantive discussion</w:t>
      </w:r>
      <w:r w:rsidR="00F72D96">
        <w:t xml:space="preserve"> of this position</w:t>
      </w:r>
      <w:r w:rsidR="00BA5922">
        <w:t xml:space="preserve"> here</w:t>
      </w:r>
      <w:r w:rsidR="00E94D7C">
        <w:t>, but</w:t>
      </w:r>
      <w:r w:rsidR="00F72D96">
        <w:t>, briefly,</w:t>
      </w:r>
      <w:r w:rsidR="00E94D7C">
        <w:t xml:space="preserve"> I take </w:t>
      </w:r>
      <w:r w:rsidR="00F72D96">
        <w:t>such epistemically sceptical</w:t>
      </w:r>
      <w:r w:rsidR="00E94D7C">
        <w:t xml:space="preserve"> readings of Hume’s response to scepticism to struggle with what Cummins (1999) refers to as the ‘integration problem’ of adequately explaining Hume’s return to philosophy; see also Collier (2008, p.311)</w:t>
      </w:r>
      <w:r w:rsidR="00F72D96">
        <w:t xml:space="preserve">, Ainslie (2015, p.229), and Boehm (2013, pp.73–74) for some responses </w:t>
      </w:r>
      <w:r w:rsidR="007A1E6C">
        <w:t>in this ballpark to epistemically sceptical readings</w:t>
      </w:r>
      <w:r w:rsidR="00F72D96">
        <w:t xml:space="preserve">. </w:t>
      </w:r>
    </w:p>
  </w:footnote>
  <w:footnote w:id="23">
    <w:p w:rsidR="003A146E" w:rsidRPr="00532637" w:rsidRDefault="003A146E" w:rsidP="003A146E">
      <w:pPr>
        <w:pStyle w:val="FootnoteText"/>
        <w:spacing w:before="60"/>
        <w:rPr>
          <w:lang w:val="en-US"/>
        </w:rPr>
      </w:pPr>
      <w:r>
        <w:rPr>
          <w:rStyle w:val="FootnoteReference"/>
        </w:rPr>
        <w:footnoteRef/>
      </w:r>
      <w:r>
        <w:t xml:space="preserve"> </w:t>
      </w:r>
      <w:r>
        <w:rPr>
          <w:lang w:val="en-US"/>
        </w:rPr>
        <w:t>The notion of ‘refinement’ in particular indicates that reflection is involved in such reasoning</w:t>
      </w:r>
      <w:r w:rsidR="00DC7775">
        <w:rPr>
          <w:lang w:val="en-US"/>
        </w:rPr>
        <w:t>—</w:t>
      </w:r>
      <w:r>
        <w:rPr>
          <w:lang w:val="en-US"/>
        </w:rPr>
        <w:t>to refine some reasoning, we have to reflect on it.</w:t>
      </w:r>
    </w:p>
  </w:footnote>
  <w:footnote w:id="24">
    <w:p w:rsidR="007448C3" w:rsidRPr="00E72AF5" w:rsidRDefault="007448C3" w:rsidP="00A40BE3">
      <w:pPr>
        <w:pStyle w:val="FootnoteText"/>
        <w:spacing w:before="60"/>
        <w:rPr>
          <w:lang w:val="en-US"/>
        </w:rPr>
      </w:pPr>
      <w:r>
        <w:rPr>
          <w:rStyle w:val="FootnoteReference"/>
        </w:rPr>
        <w:footnoteRef/>
      </w:r>
      <w:r>
        <w:t xml:space="preserve"> </w:t>
      </w:r>
      <w:r>
        <w:rPr>
          <w:lang w:val="en-US"/>
        </w:rPr>
        <w:t xml:space="preserve">As Hedberg (2014, p.3622) notes, there has been relatively little discussion of epistemic supererogation in comparison with moral supererogation. For some discussion of epistemic supererogation see Bernstein (1986), Hedberg (2014), and Tidman (1996). </w:t>
      </w:r>
    </w:p>
  </w:footnote>
  <w:footnote w:id="25">
    <w:p w:rsidR="002E5F77" w:rsidRPr="002E5F77" w:rsidRDefault="002E5F77" w:rsidP="002E5F77">
      <w:pPr>
        <w:pStyle w:val="FootnoteText"/>
        <w:spacing w:before="60"/>
        <w:rPr>
          <w:lang w:val="en-US"/>
        </w:rPr>
      </w:pPr>
      <w:r>
        <w:rPr>
          <w:rStyle w:val="FootnoteReference"/>
        </w:rPr>
        <w:footnoteRef/>
      </w:r>
      <w:r>
        <w:t xml:space="preserve"> As mentioned earlier, Ievers (2012) similarly sees the Dangerous Dilemma has embodying a choice between two extremes of reflection, but her solution rests on favouring indolence unless we have good reason to reflect, rather than on </w:t>
      </w:r>
      <w:r w:rsidR="00E009D0">
        <w:t>a recognition of the supererogatory</w:t>
      </w:r>
      <w:r>
        <w:t>.</w:t>
      </w:r>
    </w:p>
  </w:footnote>
  <w:footnote w:id="26">
    <w:p w:rsidR="007448C3" w:rsidRPr="009D175D" w:rsidRDefault="007448C3" w:rsidP="00A40BE3">
      <w:pPr>
        <w:pStyle w:val="FootnoteText"/>
        <w:spacing w:before="60"/>
        <w:rPr>
          <w:lang w:val="en-US"/>
        </w:rPr>
      </w:pPr>
      <w:r>
        <w:rPr>
          <w:rStyle w:val="FootnoteReference"/>
        </w:rPr>
        <w:footnoteRef/>
      </w:r>
      <w:r>
        <w:t xml:space="preserve"> </w:t>
      </w:r>
      <w:r w:rsidR="00E009D0" w:rsidRPr="00E009D0">
        <w:t>Although this is a good start, it does not</w:t>
      </w:r>
      <w:r w:rsidR="00E009D0" w:rsidRPr="00E009D0">
        <w:rPr>
          <w:lang w:val="en-US"/>
        </w:rPr>
        <w:t xml:space="preserve"> completely address the sceptical horn: although excessive scepticism is not necessitated, it seems on the face of it to be good, which is unintuitive. I will address this issue in the following section.</w:t>
      </w:r>
    </w:p>
  </w:footnote>
  <w:footnote w:id="27">
    <w:p w:rsidR="007448C3" w:rsidRPr="00737DA8" w:rsidRDefault="007448C3" w:rsidP="00A40BE3">
      <w:pPr>
        <w:pStyle w:val="FootnoteText"/>
        <w:spacing w:before="60"/>
        <w:rPr>
          <w:lang w:val="en-US"/>
        </w:rPr>
      </w:pPr>
      <w:r w:rsidRPr="00737DA8">
        <w:rPr>
          <w:rStyle w:val="FootnoteReference"/>
        </w:rPr>
        <w:footnoteRef/>
      </w:r>
      <w:r w:rsidRPr="00737DA8">
        <w:t xml:space="preserve"> </w:t>
      </w:r>
      <w:r w:rsidRPr="00737DA8">
        <w:rPr>
          <w:lang w:val="en-US"/>
        </w:rPr>
        <w:t>Beyond</w:t>
      </w:r>
      <w:r>
        <w:rPr>
          <w:lang w:val="en-US"/>
        </w:rPr>
        <w:t xml:space="preserve"> the deontological threshold, the relevant epistemic distinction will have to take another form, as I will explain later.</w:t>
      </w:r>
    </w:p>
  </w:footnote>
  <w:footnote w:id="28">
    <w:p w:rsidR="00B32307" w:rsidRPr="00B9388E" w:rsidRDefault="00B32307" w:rsidP="00B32307">
      <w:pPr>
        <w:pStyle w:val="FootnoteText"/>
        <w:spacing w:before="60"/>
        <w:rPr>
          <w:lang w:val="en-US"/>
        </w:rPr>
      </w:pPr>
      <w:r>
        <w:rPr>
          <w:rStyle w:val="FootnoteReference"/>
        </w:rPr>
        <w:footnoteRef/>
      </w:r>
      <w:r>
        <w:t xml:space="preserve"> </w:t>
      </w:r>
      <w:r>
        <w:rPr>
          <w:lang w:val="en-US"/>
        </w:rPr>
        <w:t>Ainslie, Schafer, and I differ, however, on how Hume arrives at the thesis that philosophy is optional. I see it as turning on the deontological considerations described above. Meanwhile, Ainslie argues that the source is Hume’s understanding of ‘the reflective interference’ caused by the introspective project that philosophers undertake (Ainslie 2015, p.244). Schafer argues that the difference in the degree of reflection that is recommended to each individual by the Title Principle is partly a function of that person’s natural curiosity (Schafer 2014, p.12).</w:t>
      </w:r>
      <w:r w:rsidRPr="00B56032">
        <w:rPr>
          <w:lang w:val="en-US"/>
        </w:rPr>
        <w:t xml:space="preserve"> My interpretation is noncommittal regarding the ‘Title Principle’:</w:t>
      </w:r>
      <w:r w:rsidRPr="00B56032">
        <w:t xml:space="preserve"> ‘</w:t>
      </w:r>
      <w:r w:rsidRPr="00B56032">
        <w:rPr>
          <w:lang w:val="en-US"/>
        </w:rPr>
        <w:t>Where reason is lively, and mixes itself with some propensity, it ought to be assented to. Where it does not, it never can have any title to operate upon us’ (THN 1.4.7.11). This principle is consistent with the account I offer</w:t>
      </w:r>
      <w:r w:rsidR="00DC7775">
        <w:rPr>
          <w:lang w:val="en-US"/>
        </w:rPr>
        <w:t>—</w:t>
      </w:r>
      <w:r w:rsidRPr="00B56032">
        <w:rPr>
          <w:lang w:val="en-US"/>
        </w:rPr>
        <w:t xml:space="preserve">while I emphasise Hume’s norms of reflection, the Title Principle concerns Hume’s norms of assent. Once we reflect, it might well be that we have a duty to assent to </w:t>
      </w:r>
      <w:r w:rsidR="00392A85">
        <w:rPr>
          <w:lang w:val="en-US"/>
        </w:rPr>
        <w:t xml:space="preserve">the results of </w:t>
      </w:r>
      <w:r w:rsidRPr="00B56032">
        <w:rPr>
          <w:lang w:val="en-US"/>
        </w:rPr>
        <w:t>this reflection. However, I take the crucial question to be whether we should indeed reflect in the first place. For the purposes of my paper, I do not take a position on the Title Principle, nor do I need to.</w:t>
      </w:r>
    </w:p>
  </w:footnote>
  <w:footnote w:id="29">
    <w:p w:rsidR="007448C3" w:rsidRPr="004B4ABB" w:rsidRDefault="007448C3" w:rsidP="00A40BE3">
      <w:pPr>
        <w:pStyle w:val="FootnoteText"/>
        <w:spacing w:before="60"/>
        <w:rPr>
          <w:lang w:val="en-US"/>
        </w:rPr>
      </w:pPr>
      <w:r>
        <w:rPr>
          <w:rStyle w:val="FootnoteReference"/>
        </w:rPr>
        <w:footnoteRef/>
      </w:r>
      <w:r>
        <w:t xml:space="preserve"> </w:t>
      </w:r>
      <w:r>
        <w:rPr>
          <w:lang w:val="en-US"/>
        </w:rPr>
        <w:t>Hume’s tone in this passage is difficult to place. Loeb (2002, p.92) reads the passage as approving, while Williams (2004, p.28</w:t>
      </w:r>
      <w:r w:rsidR="007C42A8">
        <w:rPr>
          <w:lang w:val="en-US"/>
        </w:rPr>
        <w:t>6</w:t>
      </w:r>
      <w:r w:rsidR="003112B3">
        <w:rPr>
          <w:lang w:val="en-US"/>
        </w:rPr>
        <w:t>–</w:t>
      </w:r>
      <w:r>
        <w:rPr>
          <w:lang w:val="en-US"/>
        </w:rPr>
        <w:t>7) takes the passage to imply no commendation. My view is that Hume sees the honest gentlemen as nothing to write home about</w:t>
      </w:r>
      <w:r w:rsidR="00DC7775">
        <w:rPr>
          <w:lang w:val="en-US"/>
        </w:rPr>
        <w:t>—</w:t>
      </w:r>
      <w:r>
        <w:rPr>
          <w:lang w:val="en-US"/>
        </w:rPr>
        <w:t>they do what they are required to, but little more.</w:t>
      </w:r>
    </w:p>
  </w:footnote>
  <w:footnote w:id="30">
    <w:p w:rsidR="007448C3" w:rsidRPr="00DA1387" w:rsidRDefault="007448C3" w:rsidP="00A40BE3">
      <w:pPr>
        <w:pStyle w:val="FootnoteText"/>
        <w:spacing w:before="60"/>
        <w:rPr>
          <w:lang w:val="en-US"/>
        </w:rPr>
      </w:pPr>
      <w:r>
        <w:rPr>
          <w:rStyle w:val="FootnoteReference"/>
        </w:rPr>
        <w:footnoteRef/>
      </w:r>
      <w:r>
        <w:t xml:space="preserve"> </w:t>
      </w:r>
      <w:r>
        <w:rPr>
          <w:lang w:val="en-US"/>
        </w:rPr>
        <w:t>Of course, this is not to say that they could not do better by reflecting to a higher degree. Hume’s statement might be read as somewhat condescending here. For instance: ‘You’d do well to make half of what I do’, said the banker.</w:t>
      </w:r>
    </w:p>
  </w:footnote>
  <w:footnote w:id="31">
    <w:p w:rsidR="007448C3" w:rsidRPr="00A34417" w:rsidRDefault="007448C3" w:rsidP="00A40BE3">
      <w:pPr>
        <w:pStyle w:val="FootnoteText"/>
        <w:spacing w:before="60"/>
        <w:rPr>
          <w:lang w:val="en-US"/>
        </w:rPr>
      </w:pPr>
      <w:r>
        <w:rPr>
          <w:rStyle w:val="FootnoteReference"/>
        </w:rPr>
        <w:footnoteRef/>
      </w:r>
      <w:r>
        <w:t xml:space="preserve"> </w:t>
      </w:r>
      <w:r>
        <w:rPr>
          <w:lang w:val="en-US"/>
        </w:rPr>
        <w:t xml:space="preserve">Walker (2013, p.899) similarly (albeit from a virtue-ethical standpoint) suggests that this passage indicates that the honest gentlemen might ‘exemplify a </w:t>
      </w:r>
      <w:r>
        <w:rPr>
          <w:i/>
          <w:lang w:val="en-US"/>
        </w:rPr>
        <w:t xml:space="preserve">decent </w:t>
      </w:r>
      <w:r>
        <w:rPr>
          <w:lang w:val="en-US"/>
        </w:rPr>
        <w:t xml:space="preserve">character’, although they would lack ‘the most perfect character’. </w:t>
      </w:r>
    </w:p>
  </w:footnote>
  <w:footnote w:id="32">
    <w:p w:rsidR="007448C3" w:rsidRPr="00222659" w:rsidRDefault="007448C3" w:rsidP="00222659">
      <w:pPr>
        <w:pStyle w:val="FootnoteText"/>
        <w:spacing w:before="60"/>
        <w:rPr>
          <w:lang w:val="en-US"/>
        </w:rPr>
      </w:pPr>
      <w:r>
        <w:rPr>
          <w:rStyle w:val="FootnoteReference"/>
        </w:rPr>
        <w:footnoteRef/>
      </w:r>
      <w:r>
        <w:t xml:space="preserve"> </w:t>
      </w:r>
      <w:r>
        <w:rPr>
          <w:lang w:val="en-US"/>
        </w:rPr>
        <w:t>Of course, to state that everyone ought to recognise the authority of philosophy is not to claim that everyone ought to pursue it. Compare: all subjects ought to recognise the authority of the sovereign, but clearly, not all subjects ought to attempt to become the sovereign.</w:t>
      </w:r>
    </w:p>
  </w:footnote>
  <w:footnote w:id="33">
    <w:p w:rsidR="007448C3" w:rsidRPr="00EC25ED" w:rsidRDefault="007448C3" w:rsidP="00EC25ED">
      <w:pPr>
        <w:pStyle w:val="FootnoteText"/>
        <w:spacing w:before="60"/>
        <w:rPr>
          <w:lang w:val="en-US"/>
        </w:rPr>
      </w:pPr>
      <w:r>
        <w:rPr>
          <w:rStyle w:val="FootnoteReference"/>
        </w:rPr>
        <w:footnoteRef/>
      </w:r>
      <w:r>
        <w:t xml:space="preserve"> </w:t>
      </w:r>
      <w:r w:rsidRPr="00EC25ED">
        <w:t>This theme of deep intellectual pursuits as supererogatory is also present to a degree in EHU 1. Here, Hume distinguishes the ‘easy and obvious’ philosophy from the ‘accurate and abstruse’ (EHU 1.3). Although Hume recognises that there is no fault in pursuing the easy philosophy, which he recognises to be more useful and agreeable, he also defends the more difficult philosophy from those who would reject it wholesale (EHU 1.7)</w:t>
      </w:r>
      <w:r w:rsidR="00917123">
        <w:t>.</w:t>
      </w:r>
    </w:p>
  </w:footnote>
  <w:footnote w:id="34">
    <w:p w:rsidR="007448C3" w:rsidRPr="008E5C23" w:rsidRDefault="007448C3" w:rsidP="00A40BE3">
      <w:pPr>
        <w:pStyle w:val="FootnoteText"/>
        <w:spacing w:before="60"/>
        <w:rPr>
          <w:lang w:val="en-US"/>
        </w:rPr>
      </w:pPr>
      <w:r>
        <w:rPr>
          <w:rStyle w:val="FootnoteReference"/>
        </w:rPr>
        <w:footnoteRef/>
      </w:r>
      <w:r>
        <w:t xml:space="preserve"> </w:t>
      </w:r>
      <w:r>
        <w:rPr>
          <w:lang w:val="en-US"/>
        </w:rPr>
        <w:t xml:space="preserve">Note that this minimal duty to reflect does not entail that we need to reflect on each and every belief. For instance, it is implausible that reflection is required for immediate causal beliefs, or obvious and simple arithmetical truths. </w:t>
      </w:r>
    </w:p>
  </w:footnote>
  <w:footnote w:id="35">
    <w:p w:rsidR="00161AFB" w:rsidRPr="00161AFB" w:rsidRDefault="00161AFB" w:rsidP="00161AFB">
      <w:pPr>
        <w:pStyle w:val="FootnoteText"/>
        <w:spacing w:before="60"/>
        <w:rPr>
          <w:lang w:val="en-US"/>
        </w:rPr>
      </w:pPr>
      <w:r>
        <w:rPr>
          <w:rStyle w:val="FootnoteReference"/>
        </w:rPr>
        <w:footnoteRef/>
      </w:r>
      <w:r>
        <w:t xml:space="preserve"> </w:t>
      </w:r>
      <w:r>
        <w:rPr>
          <w:lang w:val="en-US"/>
        </w:rPr>
        <w:t xml:space="preserve">It should be noted that strictly speaking, excessive scepticism is philosophy; indeed, it is philosophy that is extremely reflective and rigourous. For exegetical convenience, when I refer to ‘philosophy’ from here on, it refers to </w:t>
      </w:r>
      <w:r w:rsidR="00A33423">
        <w:rPr>
          <w:lang w:val="en-US"/>
        </w:rPr>
        <w:t xml:space="preserve">philosophy that </w:t>
      </w:r>
      <w:r w:rsidR="00392A85">
        <w:rPr>
          <w:lang w:val="en-US"/>
        </w:rPr>
        <w:t xml:space="preserve">falls shy of </w:t>
      </w:r>
      <w:r w:rsidR="00A33423">
        <w:rPr>
          <w:lang w:val="en-US"/>
        </w:rPr>
        <w:t>excessive scepticism</w:t>
      </w:r>
      <w:r>
        <w:rPr>
          <w:lang w:val="en-US"/>
        </w:rPr>
        <w:t>.</w:t>
      </w:r>
      <w:r w:rsidR="00A33423">
        <w:rPr>
          <w:lang w:val="en-US"/>
        </w:rPr>
        <w:t xml:space="preserve"> In line with this, my claim in this paper that philosophy is supererogatory is, strictly speaking, the claim that philosophy is supererogatory up to a certain point</w:t>
      </w:r>
      <w:r w:rsidR="00392A85">
        <w:rPr>
          <w:lang w:val="en-US"/>
        </w:rPr>
        <w:t>; excessively sceptical philosophy is neither required nor praiseworthy</w:t>
      </w:r>
      <w:r w:rsidR="00A33423">
        <w:rPr>
          <w:lang w:val="en-US"/>
        </w:rPr>
        <w:t>.</w:t>
      </w:r>
      <w:r>
        <w:rPr>
          <w:lang w:val="en-US"/>
        </w:rPr>
        <w:t xml:space="preserve"> </w:t>
      </w:r>
    </w:p>
  </w:footnote>
  <w:footnote w:id="36">
    <w:p w:rsidR="007448C3" w:rsidRPr="001A0A31" w:rsidRDefault="007448C3" w:rsidP="00A40BE3">
      <w:pPr>
        <w:pStyle w:val="FootnoteText"/>
        <w:spacing w:before="60"/>
        <w:rPr>
          <w:lang w:val="en-US"/>
        </w:rPr>
      </w:pPr>
      <w:r>
        <w:rPr>
          <w:rStyle w:val="FootnoteReference"/>
        </w:rPr>
        <w:footnoteRef/>
      </w:r>
      <w:r>
        <w:t xml:space="preserve"> </w:t>
      </w:r>
      <w:r>
        <w:rPr>
          <w:lang w:val="en-US"/>
        </w:rPr>
        <w:t xml:space="preserve">Hume does note in EHU 12.25 that it might be good to have once gone through excessive doubt. Nevertheless, </w:t>
      </w:r>
      <w:r>
        <w:rPr>
          <w:i/>
          <w:lang w:val="en-US"/>
        </w:rPr>
        <w:t>remaining</w:t>
      </w:r>
      <w:r>
        <w:rPr>
          <w:lang w:val="en-US"/>
        </w:rPr>
        <w:t xml:space="preserve"> within excessive scepticism is certainly not laudatory (c.f. EHU 12.23). In any case, I think THN 1.4.7 and EHU 12 to profess different epistemic frameworks, although I lack the space to defend this claim here.</w:t>
      </w:r>
    </w:p>
  </w:footnote>
  <w:footnote w:id="37">
    <w:p w:rsidR="007448C3" w:rsidRPr="000140BA" w:rsidRDefault="007448C3" w:rsidP="00A40BE3">
      <w:pPr>
        <w:pStyle w:val="FootnoteText"/>
        <w:spacing w:before="60"/>
        <w:rPr>
          <w:lang w:val="en-US"/>
        </w:rPr>
      </w:pPr>
      <w:r>
        <w:rPr>
          <w:rStyle w:val="FootnoteReference"/>
        </w:rPr>
        <w:footnoteRef/>
      </w:r>
      <w:r>
        <w:t xml:space="preserve"> </w:t>
      </w:r>
      <w:r w:rsidR="00392A85">
        <w:t xml:space="preserve">In my </w:t>
      </w:r>
      <w:r w:rsidRPr="000140BA">
        <w:rPr>
          <w:lang w:val="en-US"/>
        </w:rPr>
        <w:t>Qu</w:t>
      </w:r>
      <w:r w:rsidR="003112B3">
        <w:rPr>
          <w:lang w:val="en-US"/>
        </w:rPr>
        <w:t xml:space="preserve"> (2014, pp.506–</w:t>
      </w:r>
      <w:r w:rsidRPr="000140BA">
        <w:rPr>
          <w:lang w:val="en-US"/>
        </w:rPr>
        <w:t>7)</w:t>
      </w:r>
      <w:r w:rsidR="00392A85">
        <w:rPr>
          <w:lang w:val="en-US"/>
        </w:rPr>
        <w:t>, I argue</w:t>
      </w:r>
      <w:r w:rsidRPr="000140BA">
        <w:rPr>
          <w:lang w:val="en-US"/>
        </w:rPr>
        <w:t xml:space="preserve"> that superstition arises from a lack of exercise of reason, which corresponds to a lack of reflection.</w:t>
      </w:r>
    </w:p>
  </w:footnote>
  <w:footnote w:id="38">
    <w:p w:rsidR="007448C3" w:rsidRPr="00E143B2" w:rsidRDefault="007448C3" w:rsidP="00A40BE3">
      <w:pPr>
        <w:pStyle w:val="FootnoteText"/>
        <w:spacing w:before="60"/>
        <w:rPr>
          <w:lang w:val="en-US"/>
        </w:rPr>
      </w:pPr>
      <w:r>
        <w:rPr>
          <w:rStyle w:val="FootnoteReference"/>
        </w:rPr>
        <w:footnoteRef/>
      </w:r>
      <w:r>
        <w:t xml:space="preserve"> </w:t>
      </w:r>
      <w:r>
        <w:rPr>
          <w:lang w:val="en-US"/>
        </w:rPr>
        <w:t>F</w:t>
      </w:r>
      <w:r w:rsidRPr="00E143B2">
        <w:rPr>
          <w:lang w:val="en-US"/>
        </w:rPr>
        <w:t xml:space="preserve">or exegetical convenience </w:t>
      </w:r>
      <w:r>
        <w:rPr>
          <w:lang w:val="en-US"/>
        </w:rPr>
        <w:t>I use ‘superstition’ to refer to the reflective sort from here on.</w:t>
      </w:r>
    </w:p>
  </w:footnote>
  <w:footnote w:id="39">
    <w:p w:rsidR="007448C3" w:rsidRPr="005853B5" w:rsidRDefault="007448C3" w:rsidP="00A40BE3">
      <w:pPr>
        <w:pStyle w:val="FootnoteText"/>
        <w:spacing w:before="60"/>
        <w:rPr>
          <w:lang w:val="en-US"/>
        </w:rPr>
      </w:pPr>
      <w:r>
        <w:rPr>
          <w:rStyle w:val="FootnoteReference"/>
        </w:rPr>
        <w:footnoteRef/>
      </w:r>
      <w:r>
        <w:t xml:space="preserve"> </w:t>
      </w:r>
      <w:r>
        <w:rPr>
          <w:lang w:val="en-US"/>
        </w:rPr>
        <w:t>Although Urmson is careful to note that he ‘does not wish to support any particular view about the supreme good’ (p.215).</w:t>
      </w:r>
    </w:p>
  </w:footnote>
  <w:footnote w:id="40">
    <w:p w:rsidR="007448C3" w:rsidRPr="005853B5" w:rsidRDefault="007448C3" w:rsidP="00A40BE3">
      <w:pPr>
        <w:pStyle w:val="FootnoteText"/>
        <w:spacing w:before="60"/>
        <w:rPr>
          <w:lang w:val="en-US"/>
        </w:rPr>
      </w:pPr>
      <w:r>
        <w:rPr>
          <w:rStyle w:val="FootnoteReference"/>
        </w:rPr>
        <w:footnoteRef/>
      </w:r>
      <w:r>
        <w:t xml:space="preserve"> Examples of those who try to account for supererogation in deontological terms are Dancy (1988), Rawls (1971), Raz (1975), and Richards (1971). Those who dismiss supererogation as a category were listed in an earlier footnote.</w:t>
      </w:r>
    </w:p>
  </w:footnote>
  <w:footnote w:id="41">
    <w:p w:rsidR="007448C3" w:rsidRPr="009252F6" w:rsidRDefault="007448C3" w:rsidP="00A40BE3">
      <w:pPr>
        <w:pStyle w:val="FootnoteText"/>
        <w:spacing w:before="60"/>
        <w:rPr>
          <w:lang w:val="en-US"/>
        </w:rPr>
      </w:pPr>
      <w:r>
        <w:rPr>
          <w:rStyle w:val="FootnoteReference"/>
        </w:rPr>
        <w:footnoteRef/>
      </w:r>
      <w:r>
        <w:t xml:space="preserve"> </w:t>
      </w:r>
      <w:r>
        <w:rPr>
          <w:lang w:val="en-US"/>
        </w:rPr>
        <w:t>This leaves open whether such an account will be ‘act’ or ‘rule’</w:t>
      </w:r>
      <w:r w:rsidR="00DC7775">
        <w:rPr>
          <w:lang w:val="en-US"/>
        </w:rPr>
        <w:t>—a</w:t>
      </w:r>
      <w:r>
        <w:rPr>
          <w:lang w:val="en-US"/>
        </w:rPr>
        <w:t xml:space="preserve">re we evaluating </w:t>
      </w:r>
      <w:r w:rsidR="00D57B65">
        <w:rPr>
          <w:lang w:val="en-US"/>
        </w:rPr>
        <w:t>levels of reflection</w:t>
      </w:r>
      <w:r>
        <w:rPr>
          <w:lang w:val="en-US"/>
        </w:rPr>
        <w:t xml:space="preserve"> in terms of the results they in fact produce, or in terms of the results they would generally produce? The ‘rule’ variant seems more likely, given Hume’s position that ‘virtue in rags is still virtue’ (THN 3.3.1.19).</w:t>
      </w:r>
    </w:p>
  </w:footnote>
  <w:footnote w:id="42">
    <w:p w:rsidR="007448C3" w:rsidRPr="003C0084" w:rsidRDefault="007448C3" w:rsidP="00A40BE3">
      <w:pPr>
        <w:pStyle w:val="FootnoteText"/>
        <w:spacing w:before="60"/>
        <w:rPr>
          <w:lang w:val="en-US"/>
        </w:rPr>
      </w:pPr>
      <w:r>
        <w:rPr>
          <w:rStyle w:val="FootnoteReference"/>
        </w:rPr>
        <w:footnoteRef/>
      </w:r>
      <w:r>
        <w:t xml:space="preserve"> </w:t>
      </w:r>
      <w:r>
        <w:rPr>
          <w:lang w:val="en-US"/>
        </w:rPr>
        <w:t xml:space="preserve">See </w:t>
      </w:r>
      <w:r w:rsidRPr="003C0084">
        <w:rPr>
          <w:lang w:val="en-US"/>
        </w:rPr>
        <w:t>Ardal (1976), Kail (2005), McCormick (2005), Owen (1999),</w:t>
      </w:r>
      <w:r w:rsidRPr="003C0084">
        <w:rPr>
          <w:sz w:val="24"/>
          <w:szCs w:val="22"/>
          <w:lang w:val="en-US"/>
        </w:rPr>
        <w:t xml:space="preserve"> </w:t>
      </w:r>
      <w:r>
        <w:rPr>
          <w:lang w:val="en-US"/>
        </w:rPr>
        <w:t>Ridge (2003),</w:t>
      </w:r>
      <w:r w:rsidRPr="003C0084">
        <w:rPr>
          <w:lang w:val="en-US"/>
        </w:rPr>
        <w:t xml:space="preserve"> Qu (2014), and Schafer (2014)</w:t>
      </w:r>
      <w:r>
        <w:rPr>
          <w:lang w:val="en-US"/>
        </w:rPr>
        <w:t>, for instance.</w:t>
      </w:r>
    </w:p>
  </w:footnote>
  <w:footnote w:id="43">
    <w:p w:rsidR="007448C3" w:rsidRPr="008E5C23" w:rsidRDefault="007448C3" w:rsidP="00A40BE3">
      <w:pPr>
        <w:pStyle w:val="FootnoteText"/>
        <w:spacing w:before="60"/>
        <w:rPr>
          <w:lang w:val="en-US"/>
        </w:rPr>
      </w:pPr>
      <w:r>
        <w:rPr>
          <w:rStyle w:val="FootnoteReference"/>
        </w:rPr>
        <w:footnoteRef/>
      </w:r>
      <w:r>
        <w:t xml:space="preserve"> There are some parallels here with Moore’s (1997) ‘threshold deontology’, whereby duties are binding, unless the consequences are sufficiently dire. My view is subtly different, however. In Moore’s account, the threshold resides with the consequentialist aspect</w:t>
      </w:r>
      <w:r w:rsidR="00DC7775">
        <w:t>—</w:t>
      </w:r>
      <w:r>
        <w:t>the threshold has to do with how bad the consequences are. In my account, the threshold resides with the deontological aspect</w:t>
      </w:r>
      <w:r w:rsidR="00DC7775">
        <w:t>—</w:t>
      </w:r>
      <w:r>
        <w:t>the threshold has to do with the level of duty required. Within the common sphere, we would have an epistemic duty to minimally reflect even if such reflection caused dire consequences, although in such a case this epistemic duty might be trumped by moral or pragmatic considerations.</w:t>
      </w:r>
    </w:p>
  </w:footnote>
  <w:footnote w:id="44">
    <w:p w:rsidR="007448C3" w:rsidRPr="005166AA" w:rsidRDefault="007448C3" w:rsidP="00A40BE3">
      <w:pPr>
        <w:pStyle w:val="FootnoteText"/>
        <w:spacing w:before="60"/>
        <w:rPr>
          <w:lang w:val="en-US"/>
        </w:rPr>
      </w:pPr>
      <w:r>
        <w:rPr>
          <w:rStyle w:val="FootnoteReference"/>
        </w:rPr>
        <w:footnoteRef/>
      </w:r>
      <w:r>
        <w:t xml:space="preserve"> </w:t>
      </w:r>
      <w:r w:rsidRPr="005166AA">
        <w:t>Hume uses the term ‘philosophy’ more broadly than we do today; it includes natural philosophy (i.e. what we today call science), psychology, and so forth.</w:t>
      </w:r>
      <w:r>
        <w:t xml:space="preserve"> Thus, his usage of the term ‘philosophy’ in these passages should be understood as encompassing science, which is surely useful and agreeable as well.</w:t>
      </w:r>
      <w:r w:rsidRPr="005166AA">
        <w:t xml:space="preserve"> As was common in the early modern period, Hume uses the term ‘science’ as an honorific term for disciplines that have secured a privileged standing (hence his stated ambition of establishing a ‘science of man’ in the introduction to the </w:t>
      </w:r>
      <w:r w:rsidRPr="009222CA">
        <w:rPr>
          <w:i/>
        </w:rPr>
        <w:t>Treatise</w:t>
      </w:r>
      <w:r w:rsidRPr="005166AA">
        <w:t>).</w:t>
      </w:r>
    </w:p>
  </w:footnote>
  <w:footnote w:id="45">
    <w:p w:rsidR="007448C3" w:rsidRPr="003C0084" w:rsidRDefault="007448C3" w:rsidP="00A40BE3">
      <w:pPr>
        <w:pStyle w:val="FootnoteText"/>
        <w:spacing w:before="60"/>
        <w:rPr>
          <w:lang w:val="en-US"/>
        </w:rPr>
      </w:pPr>
      <w:r>
        <w:rPr>
          <w:rStyle w:val="FootnoteReference"/>
        </w:rPr>
        <w:footnoteRef/>
      </w:r>
      <w:r>
        <w:t xml:space="preserve"> </w:t>
      </w:r>
      <w:r>
        <w:rPr>
          <w:lang w:val="en-US"/>
        </w:rPr>
        <w:t xml:space="preserve">See </w:t>
      </w:r>
      <w:r w:rsidRPr="003C0084">
        <w:t>Owen (1999, p.219), Rid</w:t>
      </w:r>
      <w:r w:rsidR="003112B3">
        <w:t>ge (2003, pp.182–</w:t>
      </w:r>
      <w:r w:rsidRPr="003C0084">
        <w:t>3) Qu (2014, p.506), and Schafer (2014, pp.11</w:t>
      </w:r>
      <w:r w:rsidR="003112B3">
        <w:t>–</w:t>
      </w:r>
      <w:r w:rsidRPr="003C0084">
        <w:t>20)</w:t>
      </w:r>
      <w:r>
        <w:t>, for instance.</w:t>
      </w:r>
    </w:p>
  </w:footnote>
  <w:footnote w:id="46">
    <w:p w:rsidR="00906566" w:rsidRDefault="007448C3" w:rsidP="00A40BE3">
      <w:pPr>
        <w:pStyle w:val="FootnoteText"/>
        <w:spacing w:before="60"/>
        <w:rPr>
          <w:lang w:val="en-US"/>
        </w:rPr>
      </w:pPr>
      <w:r>
        <w:rPr>
          <w:rStyle w:val="FootnoteReference"/>
        </w:rPr>
        <w:footnoteRef/>
      </w:r>
      <w:r>
        <w:t xml:space="preserve"> </w:t>
      </w:r>
      <w:r>
        <w:rPr>
          <w:lang w:val="en-US"/>
        </w:rPr>
        <w:t xml:space="preserve">One worry is that appealing to such considerations begs the question against the excessive sceptic, who will deny that we can know any such thing. Ridge (2003) engages deeply with this worry, consequently emphasising agreeableness to oneself, which he takes to be immune to scepticism. In correspondence, </w:t>
      </w:r>
      <w:r w:rsidR="00392A85">
        <w:rPr>
          <w:lang w:val="en-US"/>
        </w:rPr>
        <w:t>Peter Millican</w:t>
      </w:r>
      <w:r>
        <w:rPr>
          <w:lang w:val="en-US"/>
        </w:rPr>
        <w:t xml:space="preserve"> raises the related objection that this account begs the question against the superstitious, who will maintain that the future life received by the faithful will far outweigh this one in terms of usefulness and agreeableness; the point is that Hume can only triumph in this regard if he presupposes that the beliefs he uses to evaluate usefulness and agreeableness are </w:t>
      </w:r>
      <w:r>
        <w:rPr>
          <w:i/>
          <w:lang w:val="en-US"/>
        </w:rPr>
        <w:t>true</w:t>
      </w:r>
      <w:r>
        <w:rPr>
          <w:lang w:val="en-US"/>
        </w:rPr>
        <w:t xml:space="preserve">. </w:t>
      </w:r>
    </w:p>
    <w:p w:rsidR="007448C3" w:rsidRPr="00F17A7C" w:rsidRDefault="007448C3" w:rsidP="00906566">
      <w:pPr>
        <w:pStyle w:val="FootnoteText"/>
        <w:spacing w:before="60"/>
        <w:ind w:firstLine="720"/>
        <w:rPr>
          <w:lang w:val="en-US"/>
        </w:rPr>
      </w:pPr>
      <w:r>
        <w:rPr>
          <w:lang w:val="en-US"/>
        </w:rPr>
        <w:t>My account has resources for dealing with both these objections: Hume can maintain that the beliefs that we use to evaluate usefulness and agreeableness must source from common life, which clearly appraises philosophy as more useful and agreeable than superstition or scepticism. This would not beg the question against the superstitious; since they too have to rely on common-life beliefs, it only seems fair to use this common ground in deciding disputes. Similar considerations apply to the sceptic, who Hume points out cannot help but maintain her common-life beliefs despite the influences of any convoluted sceptical arguments (c.f. THN 1.4.1.7 and THN 1.4.2.1).</w:t>
      </w:r>
    </w:p>
  </w:footnote>
  <w:footnote w:id="47">
    <w:p w:rsidR="007448C3" w:rsidRPr="005F3FF2" w:rsidRDefault="007448C3" w:rsidP="00A40BE3">
      <w:pPr>
        <w:pStyle w:val="FootnoteText"/>
        <w:spacing w:before="60"/>
        <w:rPr>
          <w:lang w:val="en-US"/>
        </w:rPr>
      </w:pPr>
      <w:r>
        <w:rPr>
          <w:rStyle w:val="FootnoteReference"/>
        </w:rPr>
        <w:footnoteRef/>
      </w:r>
      <w:r>
        <w:t xml:space="preserve"> </w:t>
      </w:r>
      <w:r>
        <w:rPr>
          <w:lang w:val="en-US"/>
        </w:rPr>
        <w:t xml:space="preserve">In the </w:t>
      </w:r>
      <w:r>
        <w:rPr>
          <w:i/>
          <w:lang w:val="en-US"/>
        </w:rPr>
        <w:t>Dialogues</w:t>
      </w:r>
      <w:r>
        <w:rPr>
          <w:lang w:val="en-US"/>
        </w:rPr>
        <w:t xml:space="preserve">, Philo offers a response to scepticism that also distinguishes between the basis for common-life beliefs and the basis for philosophical pursuits; the former rests on ‘the absolute necessity… of doing so’, while the latter rests on ‘a certain pleasure and satisfaction’ (DNR 1.9). Although this account differs somewhat from the one I defend in the </w:t>
      </w:r>
      <w:r>
        <w:rPr>
          <w:i/>
          <w:lang w:val="en-US"/>
        </w:rPr>
        <w:t>Treatise</w:t>
      </w:r>
      <w:r>
        <w:rPr>
          <w:lang w:val="en-US"/>
        </w:rPr>
        <w:t xml:space="preserve"> in this paper (notably, the defense of common-life beliefs rests on a pragmatic account of the sort found in EHU 12.21 rather than distinctly deontological considerations), there are also interesting parallels between the two: both distinguish between the basis for common-life and philosophical beliefs, and both take the latter to rest on considerations of agreeableness and/or usefulness.  </w:t>
      </w:r>
    </w:p>
  </w:footnote>
  <w:footnote w:id="48">
    <w:p w:rsidR="004C4C11" w:rsidRPr="004C4C11" w:rsidRDefault="004C4C11" w:rsidP="004C4C11">
      <w:pPr>
        <w:pStyle w:val="FootnoteText"/>
        <w:spacing w:before="60"/>
        <w:rPr>
          <w:lang w:val="en-US"/>
        </w:rPr>
      </w:pPr>
      <w:r>
        <w:rPr>
          <w:rStyle w:val="FootnoteReference"/>
        </w:rPr>
        <w:footnoteRef/>
      </w:r>
      <w:r>
        <w:t xml:space="preserve"> </w:t>
      </w:r>
      <w:r>
        <w:rPr>
          <w:lang w:val="en-US"/>
        </w:rPr>
        <w:t>Externalist interpretations, which we will examine shortly, also account</w:t>
      </w:r>
      <w:r w:rsidR="00FE6277">
        <w:rPr>
          <w:lang w:val="en-US"/>
        </w:rPr>
        <w:t xml:space="preserve"> well</w:t>
      </w:r>
      <w:r>
        <w:rPr>
          <w:lang w:val="en-US"/>
        </w:rPr>
        <w:t xml:space="preserve"> for Book 1 Part 3 (although</w:t>
      </w:r>
      <w:r w:rsidR="00FE6277">
        <w:rPr>
          <w:lang w:val="en-US"/>
        </w:rPr>
        <w:t xml:space="preserve"> the same is</w:t>
      </w:r>
      <w:r>
        <w:rPr>
          <w:lang w:val="en-US"/>
        </w:rPr>
        <w:t xml:space="preserve"> not necessarily </w:t>
      </w:r>
      <w:r w:rsidR="00FE6277">
        <w:rPr>
          <w:lang w:val="en-US"/>
        </w:rPr>
        <w:t xml:space="preserve">true of </w:t>
      </w:r>
      <w:r>
        <w:rPr>
          <w:lang w:val="en-US"/>
        </w:rPr>
        <w:t xml:space="preserve">the discussion of general rules), but </w:t>
      </w:r>
      <w:r w:rsidR="00FE6277">
        <w:rPr>
          <w:lang w:val="en-US"/>
        </w:rPr>
        <w:t>such accounts</w:t>
      </w:r>
      <w:r>
        <w:rPr>
          <w:lang w:val="en-US"/>
        </w:rPr>
        <w:t xml:space="preserve"> tend to cohere less well with Book 1 Part 4. By contrast, this interpretation integrates the epistemologies of both parts in a cohesive fashion.</w:t>
      </w:r>
    </w:p>
  </w:footnote>
  <w:footnote w:id="49">
    <w:p w:rsidR="007448C3" w:rsidRPr="00AA12E9" w:rsidRDefault="007448C3" w:rsidP="008D2F15">
      <w:pPr>
        <w:pStyle w:val="FootnoteText"/>
        <w:spacing w:before="60"/>
        <w:rPr>
          <w:lang w:val="en-US"/>
        </w:rPr>
      </w:pPr>
      <w:r>
        <w:rPr>
          <w:rStyle w:val="FootnoteReference"/>
        </w:rPr>
        <w:footnoteRef/>
      </w:r>
      <w:r>
        <w:t xml:space="preserve"> </w:t>
      </w:r>
      <w:r>
        <w:rPr>
          <w:lang w:val="en-US"/>
        </w:rPr>
        <w:t xml:space="preserve">Thanks to </w:t>
      </w:r>
      <w:r w:rsidR="006A3188">
        <w:rPr>
          <w:lang w:val="en-US"/>
        </w:rPr>
        <w:t>Don Garrett</w:t>
      </w:r>
      <w:r>
        <w:rPr>
          <w:lang w:val="en-US"/>
        </w:rPr>
        <w:t xml:space="preserve"> </w:t>
      </w:r>
      <w:r w:rsidR="00CB3F54">
        <w:rPr>
          <w:lang w:val="en-US"/>
        </w:rPr>
        <w:t>and Karl Schafer f</w:t>
      </w:r>
      <w:r>
        <w:rPr>
          <w:lang w:val="en-US"/>
        </w:rPr>
        <w:t>or pressing me on the following issue, and for very helpful discussion.</w:t>
      </w:r>
    </w:p>
  </w:footnote>
  <w:footnote w:id="50">
    <w:p w:rsidR="007448C3" w:rsidRPr="00064646" w:rsidRDefault="007448C3" w:rsidP="008D2F15">
      <w:pPr>
        <w:pStyle w:val="FootnoteText"/>
        <w:spacing w:before="60"/>
        <w:rPr>
          <w:lang w:val="en-US"/>
        </w:rPr>
      </w:pPr>
      <w:r>
        <w:rPr>
          <w:rStyle w:val="FootnoteReference"/>
        </w:rPr>
        <w:footnoteRef/>
      </w:r>
      <w:r>
        <w:t xml:space="preserve"> </w:t>
      </w:r>
      <w:r>
        <w:rPr>
          <w:lang w:val="en-US"/>
        </w:rPr>
        <w:t xml:space="preserve">The following options are not exhaustive, nor are they </w:t>
      </w:r>
      <w:r w:rsidR="007A1E6C">
        <w:rPr>
          <w:lang w:val="en-US"/>
        </w:rPr>
        <w:t>necessarily incompatible</w:t>
      </w:r>
      <w:r>
        <w:rPr>
          <w:lang w:val="en-US"/>
        </w:rPr>
        <w:t>.</w:t>
      </w:r>
    </w:p>
  </w:footnote>
  <w:footnote w:id="51">
    <w:p w:rsidR="007448C3" w:rsidRPr="004B3A5F" w:rsidRDefault="007448C3" w:rsidP="008D2F15">
      <w:pPr>
        <w:pStyle w:val="FootnoteText"/>
        <w:spacing w:before="60"/>
        <w:rPr>
          <w:lang w:val="en-US"/>
        </w:rPr>
      </w:pPr>
      <w:r>
        <w:rPr>
          <w:rStyle w:val="FootnoteReference"/>
        </w:rPr>
        <w:footnoteRef/>
      </w:r>
      <w:r>
        <w:t xml:space="preserve"> This would be continuous with </w:t>
      </w:r>
      <w:r w:rsidRPr="004B3A5F">
        <w:t>Baier (1991) and Korsgaard (1996</w:t>
      </w:r>
      <w:r>
        <w:t>), who treat normativity as reflexivity. Such an account would likely privilege introspective reflection.</w:t>
      </w:r>
    </w:p>
  </w:footnote>
  <w:footnote w:id="52">
    <w:p w:rsidR="007448C3" w:rsidRPr="003B0C56" w:rsidRDefault="007448C3" w:rsidP="008D2F15">
      <w:pPr>
        <w:pStyle w:val="FootnoteText"/>
        <w:spacing w:before="60"/>
        <w:rPr>
          <w:lang w:val="en-US"/>
        </w:rPr>
      </w:pPr>
      <w:r>
        <w:rPr>
          <w:rStyle w:val="FootnoteReference"/>
        </w:rPr>
        <w:footnoteRef/>
      </w:r>
      <w:r>
        <w:t xml:space="preserve"> </w:t>
      </w:r>
      <w:r>
        <w:rPr>
          <w:lang w:val="en-US"/>
        </w:rPr>
        <w:t xml:space="preserve">One possibility would be for reflection to be justified because it encouraged true or probably true beliefs. A more modest account would be for reflection to be justified merely because it </w:t>
      </w:r>
      <w:r w:rsidRPr="004B3A5F">
        <w:rPr>
          <w:i/>
          <w:lang w:val="en-US"/>
        </w:rPr>
        <w:t>aims</w:t>
      </w:r>
      <w:r>
        <w:rPr>
          <w:lang w:val="en-US"/>
        </w:rPr>
        <w:t xml:space="preserve"> at truth or probable truth</w:t>
      </w:r>
      <w:r w:rsidR="00DC7775">
        <w:rPr>
          <w:lang w:val="en-US"/>
        </w:rPr>
        <w:t>—</w:t>
      </w:r>
      <w:r>
        <w:rPr>
          <w:lang w:val="en-US"/>
        </w:rPr>
        <w:t xml:space="preserve">in reflecting and judging that </w:t>
      </w:r>
      <w:r>
        <w:rPr>
          <w:i/>
          <w:lang w:val="en-US"/>
        </w:rPr>
        <w:t>p</w:t>
      </w:r>
      <w:r>
        <w:rPr>
          <w:lang w:val="en-US"/>
        </w:rPr>
        <w:t xml:space="preserve">, one is taking </w:t>
      </w:r>
      <w:r>
        <w:rPr>
          <w:i/>
          <w:lang w:val="en-US"/>
        </w:rPr>
        <w:t>p</w:t>
      </w:r>
      <w:r>
        <w:rPr>
          <w:lang w:val="en-US"/>
        </w:rPr>
        <w:t xml:space="preserve"> to be more probable than its competitors.</w:t>
      </w:r>
    </w:p>
  </w:footnote>
  <w:footnote w:id="53">
    <w:p w:rsidR="007448C3" w:rsidRPr="00615D35" w:rsidRDefault="007448C3" w:rsidP="008D2F15">
      <w:pPr>
        <w:pStyle w:val="FootnoteText"/>
        <w:spacing w:before="60"/>
        <w:rPr>
          <w:lang w:val="en-US"/>
        </w:rPr>
      </w:pPr>
      <w:r>
        <w:rPr>
          <w:rStyle w:val="FootnoteReference"/>
        </w:rPr>
        <w:footnoteRef/>
      </w:r>
      <w:r>
        <w:t xml:space="preserve"> </w:t>
      </w:r>
      <w:r>
        <w:rPr>
          <w:lang w:val="en-US"/>
        </w:rPr>
        <w:t xml:space="preserve">Besides the following, one textual kerfuffle for the usefulness and agreeableness account is that </w:t>
      </w:r>
      <w:r w:rsidRPr="00615D35">
        <w:t>while</w:t>
      </w:r>
      <w:r>
        <w:t xml:space="preserve"> it seems to have a great deal of textual substantiation with respect to Hume’s narrative regarding enquiries beyond common life, the same cannot be said with respect to Hume’s treatment of enquiries within common life.</w:t>
      </w:r>
      <w:r w:rsidRPr="00615D35">
        <w:t xml:space="preserve"> Hume unambiguously disparages superstition and scepticism on the basis of their lack of usefulness and agreeableness, </w:t>
      </w:r>
      <w:r>
        <w:t xml:space="preserve">but </w:t>
      </w:r>
      <w:r w:rsidRPr="00615D35">
        <w:t>he does not seem to dismi</w:t>
      </w:r>
      <w:r w:rsidR="0070234D">
        <w:t>ss the ‘credulity’ horn of the Dangerous D</w:t>
      </w:r>
      <w:r w:rsidRPr="00615D35">
        <w:t>ilemma</w:t>
      </w:r>
      <w:r>
        <w:t xml:space="preserve"> </w:t>
      </w:r>
      <w:r w:rsidRPr="00615D35">
        <w:t>on such a basis.</w:t>
      </w:r>
      <w:r>
        <w:t xml:space="preserve"> He notes only that credulity is ‘dangerous to reason’ (THN 1.4.7.6), which in itself does not entail that it is dangerous </w:t>
      </w:r>
      <w:r>
        <w:rPr>
          <w:i/>
        </w:rPr>
        <w:t>per se</w:t>
      </w:r>
      <w:r>
        <w:t xml:space="preserve"> (compare: an open mind might be said to be dangerous to prejudice, but this does not mean that it is dangerous).</w:t>
      </w:r>
      <w:r w:rsidRPr="00615D35">
        <w:t xml:space="preserve"> Doubtless, credulity is </w:t>
      </w:r>
      <w:r w:rsidRPr="00615D35">
        <w:rPr>
          <w:i/>
        </w:rPr>
        <w:t>in fact</w:t>
      </w:r>
      <w:r w:rsidRPr="00615D35">
        <w:t xml:space="preserve"> not terribly useful (although wishful thinking may be quite agreeable), but the point is that unlike with scepticism and superstition, Hume does not obviously appeal to considerations of usefulness or agreeableness to dismiss </w:t>
      </w:r>
      <w:r>
        <w:t>it</w:t>
      </w:r>
      <w:r w:rsidRPr="00615D35">
        <w:t xml:space="preserve"> in THN 1.4.7.</w:t>
      </w:r>
      <w:r>
        <w:t xml:space="preserve"> In general, Hume does not in THN 1.4.7 seem to appeal to usefulness or agreeableness to get the right normative results within the realm of ‘common life’</w:t>
      </w:r>
      <w:r w:rsidR="00DC7775">
        <w:t>—</w:t>
      </w:r>
      <w:r>
        <w:t>i.e. dismissing credulity, and endorsing our everyday beliefs. This feature of THN 1.4.7 coheres perfectly with my reading.</w:t>
      </w:r>
    </w:p>
  </w:footnote>
  <w:footnote w:id="54">
    <w:p w:rsidR="00B32307" w:rsidRPr="00FE357B" w:rsidRDefault="00B32307" w:rsidP="00B32307">
      <w:pPr>
        <w:pStyle w:val="FootnoteText"/>
        <w:spacing w:before="60"/>
        <w:rPr>
          <w:lang w:val="en-US"/>
        </w:rPr>
      </w:pPr>
      <w:r>
        <w:rPr>
          <w:rStyle w:val="FootnoteReference"/>
        </w:rPr>
        <w:footnoteRef/>
      </w:r>
      <w:r>
        <w:t xml:space="preserve"> </w:t>
      </w:r>
      <w:r>
        <w:rPr>
          <w:lang w:val="en-US"/>
        </w:rPr>
        <w:t>Although see Sasser (Forthcoming) for a usefulness and agreeableness account that looks to circumvent this objection.</w:t>
      </w:r>
    </w:p>
  </w:footnote>
  <w:footnote w:id="55">
    <w:p w:rsidR="007448C3" w:rsidRPr="00D14F6A" w:rsidRDefault="007448C3" w:rsidP="00D14F6A">
      <w:pPr>
        <w:pStyle w:val="FootnoteText"/>
        <w:spacing w:before="60"/>
        <w:rPr>
          <w:lang w:val="en-US"/>
        </w:rPr>
      </w:pPr>
      <w:r>
        <w:rPr>
          <w:rStyle w:val="FootnoteReference"/>
        </w:rPr>
        <w:footnoteRef/>
      </w:r>
      <w:r>
        <w:t xml:space="preserve"> </w:t>
      </w:r>
      <w:r>
        <w:rPr>
          <w:lang w:val="en-US"/>
        </w:rPr>
        <w:t>It should be noted that this point is not crucial to my purposes. So long as the relevant duties are distinctly epistemic, this suffices from ensuring that epistemic normativity does not collapse into moral for Hume.</w:t>
      </w:r>
    </w:p>
  </w:footnote>
  <w:footnote w:id="56">
    <w:p w:rsidR="002C03D4" w:rsidRPr="00301C1F" w:rsidRDefault="002C03D4" w:rsidP="002C03D4">
      <w:pPr>
        <w:pStyle w:val="FootnoteText"/>
        <w:spacing w:before="60"/>
        <w:rPr>
          <w:lang w:val="en-US"/>
        </w:rPr>
      </w:pPr>
      <w:r>
        <w:rPr>
          <w:rStyle w:val="FootnoteReference"/>
        </w:rPr>
        <w:footnoteRef/>
      </w:r>
      <w:r>
        <w:t xml:space="preserve"> </w:t>
      </w:r>
      <w:r>
        <w:rPr>
          <w:lang w:val="en-US"/>
        </w:rPr>
        <w:t>Where there are indeed duties in the vicinity.</w:t>
      </w:r>
    </w:p>
  </w:footnote>
  <w:footnote w:id="57">
    <w:p w:rsidR="006A3188" w:rsidRPr="006A3188" w:rsidRDefault="006A3188" w:rsidP="006A3188">
      <w:pPr>
        <w:pStyle w:val="FootnoteText"/>
        <w:spacing w:before="60"/>
        <w:rPr>
          <w:lang w:val="en-US"/>
        </w:rPr>
      </w:pPr>
      <w:r>
        <w:rPr>
          <w:rStyle w:val="FootnoteReference"/>
        </w:rPr>
        <w:footnoteRef/>
      </w:r>
      <w:r>
        <w:t xml:space="preserve"> </w:t>
      </w:r>
      <w:r w:rsidR="008D43B8">
        <w:t xml:space="preserve">For detailed and </w:t>
      </w:r>
      <w:r w:rsidR="007A1E6C">
        <w:t>very</w:t>
      </w:r>
      <w:r w:rsidR="008D43B8">
        <w:t xml:space="preserve"> helpful comments on the paper, thanks are owed to </w:t>
      </w:r>
      <w:r w:rsidR="00DC7775" w:rsidRPr="00DC7775">
        <w:t>David MacArthur, Donald Baxter</w:t>
      </w:r>
      <w:r w:rsidR="00DC7775">
        <w:t xml:space="preserve">, Jonathan Cottrell, </w:t>
      </w:r>
      <w:r w:rsidR="008D43B8">
        <w:t xml:space="preserve">Don Garrett, </w:t>
      </w:r>
      <w:r w:rsidR="00DC7775" w:rsidRPr="00DC7775">
        <w:t xml:space="preserve">Ryan Hickerson, </w:t>
      </w:r>
      <w:r w:rsidR="00DC7775">
        <w:t xml:space="preserve">Peter Millican, and </w:t>
      </w:r>
      <w:r w:rsidR="008D43B8">
        <w:t xml:space="preserve">Karl Schafer. I am also grateful to Miren Boehm </w:t>
      </w:r>
      <w:r w:rsidR="00DC7775">
        <w:t xml:space="preserve">and Jennifer Marusic </w:t>
      </w:r>
      <w:r w:rsidR="008D43B8">
        <w:t>for very useful discussion on these issues. Thanks also to an audience at the Hume Society Conference 2016 at the University of Sydney for a very stimulating Q&amp;A session. A debt of gratitude is likewise owed to the area editor and two anonymous referees for this journal for some excellent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8C3" w:rsidRDefault="00744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8C3" w:rsidRDefault="007448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8C3" w:rsidRDefault="00744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60DFF"/>
    <w:multiLevelType w:val="multilevel"/>
    <w:tmpl w:val="2072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911EE"/>
    <w:multiLevelType w:val="hybridMultilevel"/>
    <w:tmpl w:val="F7D8D3E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DB9"/>
    <w:rsid w:val="00003C9B"/>
    <w:rsid w:val="00004C9D"/>
    <w:rsid w:val="0000585D"/>
    <w:rsid w:val="00006B85"/>
    <w:rsid w:val="00006FC7"/>
    <w:rsid w:val="00012C14"/>
    <w:rsid w:val="000140BA"/>
    <w:rsid w:val="00017BC9"/>
    <w:rsid w:val="00021D70"/>
    <w:rsid w:val="000231AA"/>
    <w:rsid w:val="000256C9"/>
    <w:rsid w:val="000308C2"/>
    <w:rsid w:val="00030AC1"/>
    <w:rsid w:val="00043847"/>
    <w:rsid w:val="00055519"/>
    <w:rsid w:val="00056185"/>
    <w:rsid w:val="00063543"/>
    <w:rsid w:val="00064646"/>
    <w:rsid w:val="000734C3"/>
    <w:rsid w:val="00080B22"/>
    <w:rsid w:val="00082612"/>
    <w:rsid w:val="000846A0"/>
    <w:rsid w:val="000867C5"/>
    <w:rsid w:val="000B1CBE"/>
    <w:rsid w:val="000B7B42"/>
    <w:rsid w:val="000C0338"/>
    <w:rsid w:val="000D3C63"/>
    <w:rsid w:val="000E06DD"/>
    <w:rsid w:val="000F7396"/>
    <w:rsid w:val="00103739"/>
    <w:rsid w:val="0013083A"/>
    <w:rsid w:val="00132FD3"/>
    <w:rsid w:val="0013325E"/>
    <w:rsid w:val="00134E1A"/>
    <w:rsid w:val="00136100"/>
    <w:rsid w:val="001559F9"/>
    <w:rsid w:val="00161AFB"/>
    <w:rsid w:val="00185767"/>
    <w:rsid w:val="00192181"/>
    <w:rsid w:val="001931B6"/>
    <w:rsid w:val="001A0A31"/>
    <w:rsid w:val="001A639F"/>
    <w:rsid w:val="001C3C62"/>
    <w:rsid w:val="001C5430"/>
    <w:rsid w:val="001C55FB"/>
    <w:rsid w:val="001C6DC6"/>
    <w:rsid w:val="001D1437"/>
    <w:rsid w:val="001E25BB"/>
    <w:rsid w:val="001E63A4"/>
    <w:rsid w:val="001E71BF"/>
    <w:rsid w:val="001F730C"/>
    <w:rsid w:val="001F7F62"/>
    <w:rsid w:val="00202677"/>
    <w:rsid w:val="002053EC"/>
    <w:rsid w:val="002074CE"/>
    <w:rsid w:val="00207D55"/>
    <w:rsid w:val="00216055"/>
    <w:rsid w:val="00217063"/>
    <w:rsid w:val="00217FF7"/>
    <w:rsid w:val="00222659"/>
    <w:rsid w:val="0022288B"/>
    <w:rsid w:val="002308E9"/>
    <w:rsid w:val="0025584B"/>
    <w:rsid w:val="00257775"/>
    <w:rsid w:val="00257C60"/>
    <w:rsid w:val="00262398"/>
    <w:rsid w:val="002623D6"/>
    <w:rsid w:val="00272B9D"/>
    <w:rsid w:val="00285474"/>
    <w:rsid w:val="00292EAF"/>
    <w:rsid w:val="002B0658"/>
    <w:rsid w:val="002B1794"/>
    <w:rsid w:val="002B3337"/>
    <w:rsid w:val="002C03D4"/>
    <w:rsid w:val="002C1335"/>
    <w:rsid w:val="002C5D70"/>
    <w:rsid w:val="002D0C3D"/>
    <w:rsid w:val="002E5F77"/>
    <w:rsid w:val="0030533D"/>
    <w:rsid w:val="003062D8"/>
    <w:rsid w:val="00310EEB"/>
    <w:rsid w:val="003112B3"/>
    <w:rsid w:val="00316DF5"/>
    <w:rsid w:val="00335509"/>
    <w:rsid w:val="00337E5E"/>
    <w:rsid w:val="003438C9"/>
    <w:rsid w:val="0035205C"/>
    <w:rsid w:val="003551E6"/>
    <w:rsid w:val="003612FE"/>
    <w:rsid w:val="003620F0"/>
    <w:rsid w:val="00365C78"/>
    <w:rsid w:val="00385866"/>
    <w:rsid w:val="003916BE"/>
    <w:rsid w:val="00392A85"/>
    <w:rsid w:val="003A0194"/>
    <w:rsid w:val="003A146E"/>
    <w:rsid w:val="003A4C63"/>
    <w:rsid w:val="003A6A80"/>
    <w:rsid w:val="003B0C56"/>
    <w:rsid w:val="003B0D7C"/>
    <w:rsid w:val="003C0084"/>
    <w:rsid w:val="003C1205"/>
    <w:rsid w:val="003C3713"/>
    <w:rsid w:val="003D06C8"/>
    <w:rsid w:val="003D6462"/>
    <w:rsid w:val="003D7728"/>
    <w:rsid w:val="003E3C6E"/>
    <w:rsid w:val="003E72EF"/>
    <w:rsid w:val="00403481"/>
    <w:rsid w:val="00442141"/>
    <w:rsid w:val="004421E9"/>
    <w:rsid w:val="0045304D"/>
    <w:rsid w:val="00453EEE"/>
    <w:rsid w:val="004575D6"/>
    <w:rsid w:val="004735C8"/>
    <w:rsid w:val="00475DFE"/>
    <w:rsid w:val="00476432"/>
    <w:rsid w:val="004811AE"/>
    <w:rsid w:val="0049528F"/>
    <w:rsid w:val="004A48CB"/>
    <w:rsid w:val="004B3A5F"/>
    <w:rsid w:val="004B4ABB"/>
    <w:rsid w:val="004B5868"/>
    <w:rsid w:val="004B6759"/>
    <w:rsid w:val="004C3EF2"/>
    <w:rsid w:val="004C4C11"/>
    <w:rsid w:val="004D0648"/>
    <w:rsid w:val="004D24E6"/>
    <w:rsid w:val="004E2E98"/>
    <w:rsid w:val="0050160B"/>
    <w:rsid w:val="00511110"/>
    <w:rsid w:val="00513C79"/>
    <w:rsid w:val="005166AA"/>
    <w:rsid w:val="00516B88"/>
    <w:rsid w:val="00524C18"/>
    <w:rsid w:val="00532637"/>
    <w:rsid w:val="00546DCB"/>
    <w:rsid w:val="005525DF"/>
    <w:rsid w:val="00567315"/>
    <w:rsid w:val="00574066"/>
    <w:rsid w:val="00580372"/>
    <w:rsid w:val="00580B1D"/>
    <w:rsid w:val="00583BF3"/>
    <w:rsid w:val="005853B5"/>
    <w:rsid w:val="005A623A"/>
    <w:rsid w:val="005A689C"/>
    <w:rsid w:val="005D0F59"/>
    <w:rsid w:val="005D6832"/>
    <w:rsid w:val="005D7C72"/>
    <w:rsid w:val="005E1A82"/>
    <w:rsid w:val="005E3E8D"/>
    <w:rsid w:val="005E45C1"/>
    <w:rsid w:val="005E7EC7"/>
    <w:rsid w:val="005F3FF2"/>
    <w:rsid w:val="005F4F45"/>
    <w:rsid w:val="005F730A"/>
    <w:rsid w:val="00604944"/>
    <w:rsid w:val="00606171"/>
    <w:rsid w:val="00607665"/>
    <w:rsid w:val="00615D35"/>
    <w:rsid w:val="00631897"/>
    <w:rsid w:val="006350EC"/>
    <w:rsid w:val="00641EC1"/>
    <w:rsid w:val="00650F44"/>
    <w:rsid w:val="00652686"/>
    <w:rsid w:val="00662C5C"/>
    <w:rsid w:val="00664B9B"/>
    <w:rsid w:val="0067231E"/>
    <w:rsid w:val="006727E6"/>
    <w:rsid w:val="00672BC6"/>
    <w:rsid w:val="00677061"/>
    <w:rsid w:val="006A3188"/>
    <w:rsid w:val="006C6E61"/>
    <w:rsid w:val="006C785E"/>
    <w:rsid w:val="006C78CF"/>
    <w:rsid w:val="006D0176"/>
    <w:rsid w:val="006D6A3E"/>
    <w:rsid w:val="006E5EDF"/>
    <w:rsid w:val="006E602A"/>
    <w:rsid w:val="006E6C6C"/>
    <w:rsid w:val="006F1817"/>
    <w:rsid w:val="0070234D"/>
    <w:rsid w:val="00704FA1"/>
    <w:rsid w:val="00706754"/>
    <w:rsid w:val="007147F5"/>
    <w:rsid w:val="007262F4"/>
    <w:rsid w:val="00732AB7"/>
    <w:rsid w:val="00735D1A"/>
    <w:rsid w:val="007448C3"/>
    <w:rsid w:val="00746996"/>
    <w:rsid w:val="00755FF9"/>
    <w:rsid w:val="007561F2"/>
    <w:rsid w:val="00777855"/>
    <w:rsid w:val="00782195"/>
    <w:rsid w:val="00784DBA"/>
    <w:rsid w:val="00791604"/>
    <w:rsid w:val="00791E22"/>
    <w:rsid w:val="00793524"/>
    <w:rsid w:val="007A1E6C"/>
    <w:rsid w:val="007A3F34"/>
    <w:rsid w:val="007B5F55"/>
    <w:rsid w:val="007C42A8"/>
    <w:rsid w:val="007C4987"/>
    <w:rsid w:val="007D19D8"/>
    <w:rsid w:val="007D313A"/>
    <w:rsid w:val="00813729"/>
    <w:rsid w:val="00815EBC"/>
    <w:rsid w:val="0083061C"/>
    <w:rsid w:val="00834421"/>
    <w:rsid w:val="00855853"/>
    <w:rsid w:val="0086578B"/>
    <w:rsid w:val="0089131E"/>
    <w:rsid w:val="008A75D6"/>
    <w:rsid w:val="008B4432"/>
    <w:rsid w:val="008B5171"/>
    <w:rsid w:val="008B5D46"/>
    <w:rsid w:val="008C06AF"/>
    <w:rsid w:val="008C5664"/>
    <w:rsid w:val="008D2F15"/>
    <w:rsid w:val="008D43B8"/>
    <w:rsid w:val="008D7916"/>
    <w:rsid w:val="008E229D"/>
    <w:rsid w:val="008E5A7E"/>
    <w:rsid w:val="008E5C23"/>
    <w:rsid w:val="008F2A5E"/>
    <w:rsid w:val="008F7F2C"/>
    <w:rsid w:val="00902B16"/>
    <w:rsid w:val="00906566"/>
    <w:rsid w:val="00911BA1"/>
    <w:rsid w:val="00911CE4"/>
    <w:rsid w:val="0091454D"/>
    <w:rsid w:val="0091709D"/>
    <w:rsid w:val="00917123"/>
    <w:rsid w:val="0092092F"/>
    <w:rsid w:val="00921371"/>
    <w:rsid w:val="009222CA"/>
    <w:rsid w:val="00922558"/>
    <w:rsid w:val="009252F6"/>
    <w:rsid w:val="009305B5"/>
    <w:rsid w:val="00934034"/>
    <w:rsid w:val="00937415"/>
    <w:rsid w:val="00940B28"/>
    <w:rsid w:val="0095331D"/>
    <w:rsid w:val="009565BE"/>
    <w:rsid w:val="0096050A"/>
    <w:rsid w:val="009648EA"/>
    <w:rsid w:val="00973490"/>
    <w:rsid w:val="009760A7"/>
    <w:rsid w:val="009831C7"/>
    <w:rsid w:val="00986CD5"/>
    <w:rsid w:val="0099447E"/>
    <w:rsid w:val="0099723C"/>
    <w:rsid w:val="009A3B64"/>
    <w:rsid w:val="009A5AD4"/>
    <w:rsid w:val="009A5C99"/>
    <w:rsid w:val="009A61C9"/>
    <w:rsid w:val="009B424F"/>
    <w:rsid w:val="009C1604"/>
    <w:rsid w:val="009C43FC"/>
    <w:rsid w:val="009C7F24"/>
    <w:rsid w:val="009D04E1"/>
    <w:rsid w:val="009D175D"/>
    <w:rsid w:val="009D4621"/>
    <w:rsid w:val="009D52D0"/>
    <w:rsid w:val="009E03C0"/>
    <w:rsid w:val="009E0551"/>
    <w:rsid w:val="009E5A77"/>
    <w:rsid w:val="009F2735"/>
    <w:rsid w:val="009F5D66"/>
    <w:rsid w:val="009F6879"/>
    <w:rsid w:val="00A157E8"/>
    <w:rsid w:val="00A20CD2"/>
    <w:rsid w:val="00A33423"/>
    <w:rsid w:val="00A34417"/>
    <w:rsid w:val="00A3693F"/>
    <w:rsid w:val="00A36CBE"/>
    <w:rsid w:val="00A40BE3"/>
    <w:rsid w:val="00A43E2B"/>
    <w:rsid w:val="00A447A2"/>
    <w:rsid w:val="00A46EC4"/>
    <w:rsid w:val="00A46F01"/>
    <w:rsid w:val="00A542B1"/>
    <w:rsid w:val="00A6561D"/>
    <w:rsid w:val="00A77FBB"/>
    <w:rsid w:val="00A82233"/>
    <w:rsid w:val="00A8722B"/>
    <w:rsid w:val="00A91694"/>
    <w:rsid w:val="00A91E7E"/>
    <w:rsid w:val="00A937D7"/>
    <w:rsid w:val="00AA12E9"/>
    <w:rsid w:val="00AD0346"/>
    <w:rsid w:val="00AD1627"/>
    <w:rsid w:val="00AF01D7"/>
    <w:rsid w:val="00AF3282"/>
    <w:rsid w:val="00AF4C75"/>
    <w:rsid w:val="00B021B6"/>
    <w:rsid w:val="00B03359"/>
    <w:rsid w:val="00B05F20"/>
    <w:rsid w:val="00B32307"/>
    <w:rsid w:val="00B37040"/>
    <w:rsid w:val="00B376F1"/>
    <w:rsid w:val="00B433F2"/>
    <w:rsid w:val="00B4617B"/>
    <w:rsid w:val="00B4758A"/>
    <w:rsid w:val="00B56032"/>
    <w:rsid w:val="00B6358B"/>
    <w:rsid w:val="00B67BF5"/>
    <w:rsid w:val="00B717DB"/>
    <w:rsid w:val="00B80DB9"/>
    <w:rsid w:val="00B80F57"/>
    <w:rsid w:val="00B9388E"/>
    <w:rsid w:val="00B95EA6"/>
    <w:rsid w:val="00B96DDC"/>
    <w:rsid w:val="00BA5922"/>
    <w:rsid w:val="00BB1A66"/>
    <w:rsid w:val="00BB3E21"/>
    <w:rsid w:val="00BC23CF"/>
    <w:rsid w:val="00BC3099"/>
    <w:rsid w:val="00BD14EB"/>
    <w:rsid w:val="00BD1AE6"/>
    <w:rsid w:val="00BD7A5B"/>
    <w:rsid w:val="00BD7C60"/>
    <w:rsid w:val="00BF0946"/>
    <w:rsid w:val="00BF42A0"/>
    <w:rsid w:val="00BF480C"/>
    <w:rsid w:val="00BF5D19"/>
    <w:rsid w:val="00BF72EC"/>
    <w:rsid w:val="00C20161"/>
    <w:rsid w:val="00C3250F"/>
    <w:rsid w:val="00C34BEA"/>
    <w:rsid w:val="00C35B30"/>
    <w:rsid w:val="00C3669D"/>
    <w:rsid w:val="00C37382"/>
    <w:rsid w:val="00C4616F"/>
    <w:rsid w:val="00C4634B"/>
    <w:rsid w:val="00C47CD6"/>
    <w:rsid w:val="00C6362D"/>
    <w:rsid w:val="00C72968"/>
    <w:rsid w:val="00C749F5"/>
    <w:rsid w:val="00C76871"/>
    <w:rsid w:val="00C83480"/>
    <w:rsid w:val="00C86D4D"/>
    <w:rsid w:val="00C90B09"/>
    <w:rsid w:val="00C9193E"/>
    <w:rsid w:val="00C96C0C"/>
    <w:rsid w:val="00CA19E8"/>
    <w:rsid w:val="00CA3232"/>
    <w:rsid w:val="00CA4882"/>
    <w:rsid w:val="00CB15D1"/>
    <w:rsid w:val="00CB3F54"/>
    <w:rsid w:val="00CD401A"/>
    <w:rsid w:val="00CD5720"/>
    <w:rsid w:val="00CD5E44"/>
    <w:rsid w:val="00CD7830"/>
    <w:rsid w:val="00CE2948"/>
    <w:rsid w:val="00CE47C6"/>
    <w:rsid w:val="00CE4FBE"/>
    <w:rsid w:val="00CF23CE"/>
    <w:rsid w:val="00CF2C3E"/>
    <w:rsid w:val="00CF51A9"/>
    <w:rsid w:val="00D02850"/>
    <w:rsid w:val="00D14F6A"/>
    <w:rsid w:val="00D1541E"/>
    <w:rsid w:val="00D15C41"/>
    <w:rsid w:val="00D41C34"/>
    <w:rsid w:val="00D429BC"/>
    <w:rsid w:val="00D53049"/>
    <w:rsid w:val="00D57B65"/>
    <w:rsid w:val="00D6054F"/>
    <w:rsid w:val="00D716E8"/>
    <w:rsid w:val="00D72F2C"/>
    <w:rsid w:val="00D75328"/>
    <w:rsid w:val="00D90C7A"/>
    <w:rsid w:val="00D92E3B"/>
    <w:rsid w:val="00D950A8"/>
    <w:rsid w:val="00D9567A"/>
    <w:rsid w:val="00DA1387"/>
    <w:rsid w:val="00DA5F48"/>
    <w:rsid w:val="00DA7D7F"/>
    <w:rsid w:val="00DB0BBC"/>
    <w:rsid w:val="00DB1E2F"/>
    <w:rsid w:val="00DC05C0"/>
    <w:rsid w:val="00DC2A24"/>
    <w:rsid w:val="00DC7775"/>
    <w:rsid w:val="00DD0B3F"/>
    <w:rsid w:val="00DD416B"/>
    <w:rsid w:val="00DD51B4"/>
    <w:rsid w:val="00DD5D02"/>
    <w:rsid w:val="00DD73A6"/>
    <w:rsid w:val="00DE2C7E"/>
    <w:rsid w:val="00DE734A"/>
    <w:rsid w:val="00DF082A"/>
    <w:rsid w:val="00DF09C8"/>
    <w:rsid w:val="00DF50D0"/>
    <w:rsid w:val="00DF5A23"/>
    <w:rsid w:val="00DF7196"/>
    <w:rsid w:val="00DF72A6"/>
    <w:rsid w:val="00E009D0"/>
    <w:rsid w:val="00E012B5"/>
    <w:rsid w:val="00E05F18"/>
    <w:rsid w:val="00E07799"/>
    <w:rsid w:val="00E10F8B"/>
    <w:rsid w:val="00E143B2"/>
    <w:rsid w:val="00E167AB"/>
    <w:rsid w:val="00E17ADA"/>
    <w:rsid w:val="00E17BF3"/>
    <w:rsid w:val="00E214DD"/>
    <w:rsid w:val="00E21BFB"/>
    <w:rsid w:val="00E2296A"/>
    <w:rsid w:val="00E256CA"/>
    <w:rsid w:val="00E27735"/>
    <w:rsid w:val="00E341E4"/>
    <w:rsid w:val="00E40B73"/>
    <w:rsid w:val="00E454CC"/>
    <w:rsid w:val="00E458F2"/>
    <w:rsid w:val="00E60B2A"/>
    <w:rsid w:val="00E7122B"/>
    <w:rsid w:val="00E718B0"/>
    <w:rsid w:val="00E72AF5"/>
    <w:rsid w:val="00E750AB"/>
    <w:rsid w:val="00E90A4C"/>
    <w:rsid w:val="00E94D7C"/>
    <w:rsid w:val="00E97A26"/>
    <w:rsid w:val="00EA059F"/>
    <w:rsid w:val="00EA0BB3"/>
    <w:rsid w:val="00EA0D3E"/>
    <w:rsid w:val="00EA3DE3"/>
    <w:rsid w:val="00EA478C"/>
    <w:rsid w:val="00EC25ED"/>
    <w:rsid w:val="00EC75C3"/>
    <w:rsid w:val="00EE3B4F"/>
    <w:rsid w:val="00EE4408"/>
    <w:rsid w:val="00EE7117"/>
    <w:rsid w:val="00EF37A6"/>
    <w:rsid w:val="00EF422D"/>
    <w:rsid w:val="00EF465D"/>
    <w:rsid w:val="00EF737D"/>
    <w:rsid w:val="00F015BA"/>
    <w:rsid w:val="00F02C91"/>
    <w:rsid w:val="00F03C2A"/>
    <w:rsid w:val="00F07D77"/>
    <w:rsid w:val="00F11BC3"/>
    <w:rsid w:val="00F17A7C"/>
    <w:rsid w:val="00F30239"/>
    <w:rsid w:val="00F30EA3"/>
    <w:rsid w:val="00F440F9"/>
    <w:rsid w:val="00F57C39"/>
    <w:rsid w:val="00F6523A"/>
    <w:rsid w:val="00F70A90"/>
    <w:rsid w:val="00F72D96"/>
    <w:rsid w:val="00F93A94"/>
    <w:rsid w:val="00FA790B"/>
    <w:rsid w:val="00FB26E3"/>
    <w:rsid w:val="00FE3F58"/>
    <w:rsid w:val="00FE6277"/>
    <w:rsid w:val="00FF3074"/>
    <w:rsid w:val="00FF751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3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3A"/>
    <w:pPr>
      <w:spacing w:before="240" w:after="0" w:line="432" w:lineRule="auto"/>
      <w:jc w:val="both"/>
    </w:pPr>
    <w:rPr>
      <w:rFonts w:ascii="Times New Roman" w:hAnsi="Times New Roman" w:cs="Times New Roman"/>
      <w:sz w:val="24"/>
      <w:lang w:val="en-GB"/>
    </w:rPr>
  </w:style>
  <w:style w:type="paragraph" w:styleId="Heading1">
    <w:name w:val="heading 1"/>
    <w:basedOn w:val="Normal"/>
    <w:next w:val="Normal"/>
    <w:link w:val="Heading1Char"/>
    <w:qFormat/>
    <w:rsid w:val="007D313A"/>
    <w:pPr>
      <w:keepNext/>
      <w:jc w:val="center"/>
      <w:outlineLvl w:val="0"/>
    </w:pPr>
    <w:rPr>
      <w:rFonts w:eastAsia="Times New Roman" w:cs="Arial"/>
      <w:b/>
      <w:bCs/>
      <w:kern w:val="32"/>
      <w:sz w:val="32"/>
      <w:szCs w:val="32"/>
    </w:rPr>
  </w:style>
  <w:style w:type="paragraph" w:styleId="Heading2">
    <w:name w:val="heading 2"/>
    <w:basedOn w:val="Normal"/>
    <w:next w:val="Normal"/>
    <w:link w:val="Heading2Char"/>
    <w:qFormat/>
    <w:rsid w:val="007D313A"/>
    <w:pPr>
      <w:keepNext/>
      <w:spacing w:before="480" w:after="60"/>
      <w:outlineLvl w:val="1"/>
    </w:pPr>
    <w:rPr>
      <w:rFonts w:eastAsia="Times New Roman" w:cs="Arial"/>
      <w:b/>
      <w:bCs/>
      <w:iCs/>
      <w:szCs w:val="28"/>
      <w:u w:val="single"/>
    </w:rPr>
  </w:style>
  <w:style w:type="paragraph" w:styleId="Heading3">
    <w:name w:val="heading 3"/>
    <w:basedOn w:val="Normal"/>
    <w:next w:val="Normal"/>
    <w:link w:val="Heading3Char"/>
    <w:qFormat/>
    <w:rsid w:val="007D313A"/>
    <w:pPr>
      <w:keepNext/>
      <w:spacing w:before="480" w:after="60"/>
      <w:outlineLvl w:val="2"/>
    </w:pPr>
    <w:rPr>
      <w:rFonts w:eastAsia="Times New Roman" w:cs="Arial"/>
      <w:b/>
      <w:bCs/>
      <w:szCs w:val="26"/>
    </w:rPr>
  </w:style>
  <w:style w:type="paragraph" w:styleId="Heading4">
    <w:name w:val="heading 4"/>
    <w:basedOn w:val="Normal"/>
    <w:next w:val="Normal"/>
    <w:link w:val="Heading4Char"/>
    <w:qFormat/>
    <w:rsid w:val="007D313A"/>
    <w:pPr>
      <w:keepNext/>
      <w:spacing w:before="48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13A"/>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link w:val="Heading2"/>
    <w:rsid w:val="007D313A"/>
    <w:rPr>
      <w:rFonts w:ascii="Times New Roman" w:eastAsia="Times New Roman" w:hAnsi="Times New Roman" w:cs="Arial"/>
      <w:b/>
      <w:bCs/>
      <w:iCs/>
      <w:sz w:val="24"/>
      <w:szCs w:val="28"/>
      <w:u w:val="single"/>
      <w:lang w:val="en-GB"/>
    </w:rPr>
  </w:style>
  <w:style w:type="character" w:customStyle="1" w:styleId="Heading3Char">
    <w:name w:val="Heading 3 Char"/>
    <w:basedOn w:val="DefaultParagraphFont"/>
    <w:link w:val="Heading3"/>
    <w:rsid w:val="007D313A"/>
    <w:rPr>
      <w:rFonts w:ascii="Times New Roman" w:eastAsia="Times New Roman" w:hAnsi="Times New Roman" w:cs="Arial"/>
      <w:b/>
      <w:bCs/>
      <w:sz w:val="24"/>
      <w:szCs w:val="26"/>
      <w:lang w:val="en-GB"/>
    </w:rPr>
  </w:style>
  <w:style w:type="character" w:customStyle="1" w:styleId="Heading4Char">
    <w:name w:val="Heading 4 Char"/>
    <w:basedOn w:val="DefaultParagraphFont"/>
    <w:link w:val="Heading4"/>
    <w:rsid w:val="007D313A"/>
    <w:rPr>
      <w:rFonts w:ascii="Times New Roman" w:eastAsia="Times New Roman" w:hAnsi="Times New Roman"/>
      <w:bCs/>
      <w:i/>
      <w:sz w:val="24"/>
      <w:szCs w:val="28"/>
      <w:lang w:val="en-GB"/>
    </w:rPr>
  </w:style>
  <w:style w:type="paragraph" w:customStyle="1" w:styleId="HumeReference">
    <w:name w:val="Hume Reference"/>
    <w:basedOn w:val="Normal"/>
    <w:link w:val="HumeReferenceChar"/>
    <w:autoRedefine/>
    <w:qFormat/>
    <w:rsid w:val="00055519"/>
    <w:pPr>
      <w:spacing w:before="200" w:line="480" w:lineRule="auto"/>
      <w:ind w:left="567" w:right="567"/>
    </w:pPr>
    <w:rPr>
      <w:sz w:val="20"/>
      <w:szCs w:val="20"/>
      <w:lang w:eastAsia="en-GB"/>
    </w:rPr>
  </w:style>
  <w:style w:type="character" w:customStyle="1" w:styleId="HumeReferenceChar">
    <w:name w:val="Hume Reference Char"/>
    <w:basedOn w:val="DefaultParagraphFont"/>
    <w:link w:val="HumeReference"/>
    <w:locked/>
    <w:rsid w:val="00055519"/>
    <w:rPr>
      <w:rFonts w:ascii="Times New Roman" w:hAnsi="Times New Roman" w:cs="Times New Roman"/>
      <w:sz w:val="20"/>
      <w:szCs w:val="20"/>
      <w:lang w:val="en-GB" w:eastAsia="en-GB"/>
    </w:rPr>
  </w:style>
  <w:style w:type="paragraph" w:styleId="Header">
    <w:name w:val="header"/>
    <w:basedOn w:val="Normal"/>
    <w:link w:val="HeaderChar"/>
    <w:uiPriority w:val="99"/>
    <w:unhideWhenUsed/>
    <w:rsid w:val="00513C7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3C79"/>
    <w:rPr>
      <w:rFonts w:ascii="Times New Roman" w:hAnsi="Times New Roman" w:cs="Times New Roman"/>
      <w:sz w:val="24"/>
      <w:lang w:val="en-GB"/>
    </w:rPr>
  </w:style>
  <w:style w:type="paragraph" w:styleId="Footer">
    <w:name w:val="footer"/>
    <w:basedOn w:val="Normal"/>
    <w:link w:val="FooterChar"/>
    <w:uiPriority w:val="99"/>
    <w:unhideWhenUsed/>
    <w:rsid w:val="00513C7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3C79"/>
    <w:rPr>
      <w:rFonts w:ascii="Times New Roman" w:hAnsi="Times New Roman" w:cs="Times New Roman"/>
      <w:sz w:val="24"/>
      <w:lang w:val="en-GB"/>
    </w:rPr>
  </w:style>
  <w:style w:type="paragraph" w:styleId="FootnoteText">
    <w:name w:val="footnote text"/>
    <w:basedOn w:val="Normal"/>
    <w:link w:val="FootnoteTextChar"/>
    <w:uiPriority w:val="99"/>
    <w:semiHidden/>
    <w:unhideWhenUsed/>
    <w:rsid w:val="00EA059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A059F"/>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EA059F"/>
    <w:rPr>
      <w:vertAlign w:val="superscript"/>
    </w:rPr>
  </w:style>
  <w:style w:type="character" w:styleId="Hyperlink">
    <w:name w:val="Hyperlink"/>
    <w:basedOn w:val="DefaultParagraphFont"/>
    <w:uiPriority w:val="99"/>
    <w:unhideWhenUsed/>
    <w:rsid w:val="00192181"/>
    <w:rPr>
      <w:color w:val="0563C1" w:themeColor="hyperlink"/>
      <w:u w:val="single"/>
    </w:rPr>
  </w:style>
  <w:style w:type="paragraph" w:styleId="BalloonText">
    <w:name w:val="Balloon Text"/>
    <w:basedOn w:val="Normal"/>
    <w:link w:val="BalloonTextChar"/>
    <w:uiPriority w:val="99"/>
    <w:semiHidden/>
    <w:unhideWhenUsed/>
    <w:rsid w:val="0051111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110"/>
    <w:rPr>
      <w:rFonts w:ascii="Segoe UI" w:hAnsi="Segoe UI" w:cs="Segoe UI"/>
      <w:sz w:val="18"/>
      <w:szCs w:val="18"/>
      <w:lang w:val="en-GB"/>
    </w:rPr>
  </w:style>
  <w:style w:type="paragraph" w:styleId="EndnoteText">
    <w:name w:val="endnote text"/>
    <w:basedOn w:val="Normal"/>
    <w:link w:val="EndnoteTextChar"/>
    <w:uiPriority w:val="99"/>
    <w:semiHidden/>
    <w:unhideWhenUsed/>
    <w:rsid w:val="005F4F45"/>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5F4F45"/>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5F4F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03874">
      <w:bodyDiv w:val="1"/>
      <w:marLeft w:val="0"/>
      <w:marRight w:val="0"/>
      <w:marTop w:val="0"/>
      <w:marBottom w:val="0"/>
      <w:divBdr>
        <w:top w:val="none" w:sz="0" w:space="0" w:color="auto"/>
        <w:left w:val="none" w:sz="0" w:space="0" w:color="auto"/>
        <w:bottom w:val="none" w:sz="0" w:space="0" w:color="auto"/>
        <w:right w:val="none" w:sz="0" w:space="0" w:color="auto"/>
      </w:divBdr>
      <w:divsChild>
        <w:div w:id="1235702139">
          <w:marLeft w:val="0"/>
          <w:marRight w:val="0"/>
          <w:marTop w:val="300"/>
          <w:marBottom w:val="300"/>
          <w:divBdr>
            <w:top w:val="single" w:sz="6" w:space="31" w:color="000000"/>
            <w:left w:val="single" w:sz="6" w:space="31" w:color="000000"/>
            <w:bottom w:val="single" w:sz="6" w:space="31" w:color="000000"/>
            <w:right w:val="single" w:sz="6" w:space="31" w:color="000000"/>
          </w:divBdr>
        </w:div>
        <w:div w:id="1998459719">
          <w:marLeft w:val="0"/>
          <w:marRight w:val="0"/>
          <w:marTop w:val="300"/>
          <w:marBottom w:val="300"/>
          <w:divBdr>
            <w:top w:val="single" w:sz="6" w:space="31" w:color="000000"/>
            <w:left w:val="single" w:sz="6" w:space="31" w:color="000000"/>
            <w:bottom w:val="single" w:sz="6" w:space="31" w:color="000000"/>
            <w:right w:val="single" w:sz="6" w:space="31" w:color="000000"/>
          </w:divBdr>
        </w:div>
      </w:divsChild>
    </w:div>
    <w:div w:id="825367126">
      <w:bodyDiv w:val="1"/>
      <w:marLeft w:val="0"/>
      <w:marRight w:val="0"/>
      <w:marTop w:val="0"/>
      <w:marBottom w:val="0"/>
      <w:divBdr>
        <w:top w:val="none" w:sz="0" w:space="0" w:color="auto"/>
        <w:left w:val="none" w:sz="0" w:space="0" w:color="auto"/>
        <w:bottom w:val="none" w:sz="0" w:space="0" w:color="auto"/>
        <w:right w:val="none" w:sz="0" w:space="0" w:color="auto"/>
      </w:divBdr>
      <w:divsChild>
        <w:div w:id="1025984560">
          <w:marLeft w:val="0"/>
          <w:marRight w:val="0"/>
          <w:marTop w:val="300"/>
          <w:marBottom w:val="300"/>
          <w:divBdr>
            <w:top w:val="single" w:sz="6" w:space="31" w:color="000000"/>
            <w:left w:val="single" w:sz="6" w:space="31" w:color="000000"/>
            <w:bottom w:val="single" w:sz="6" w:space="31" w:color="000000"/>
            <w:right w:val="single" w:sz="6" w:space="31" w:color="000000"/>
          </w:divBdr>
        </w:div>
        <w:div w:id="1998922322">
          <w:marLeft w:val="0"/>
          <w:marRight w:val="0"/>
          <w:marTop w:val="300"/>
          <w:marBottom w:val="300"/>
          <w:divBdr>
            <w:top w:val="single" w:sz="6" w:space="31" w:color="000000"/>
            <w:left w:val="single" w:sz="6" w:space="31" w:color="000000"/>
            <w:bottom w:val="single" w:sz="6" w:space="31" w:color="000000"/>
            <w:right w:val="single" w:sz="6" w:space="31" w:color="000000"/>
          </w:divBdr>
        </w:div>
      </w:divsChild>
    </w:div>
    <w:div w:id="203241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A2779-29FE-4697-A38A-0190EA99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8405</Words>
  <Characters>47910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2016-07-27T02:58:00Z</dcterms:created>
  <dcterms:modified xsi:type="dcterms:W3CDTF">2019-06-04T02:25:00Z</dcterms:modified>
</cp:coreProperties>
</file>